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325D83A3" w:rsidR="00A36F1C" w:rsidRDefault="00632BDC" w:rsidP="00D517A4">
      <w:pPr>
        <w:jc w:val="center"/>
        <w:rPr>
          <w:sz w:val="20"/>
          <w:lang w:val="en-GB"/>
        </w:rPr>
      </w:pPr>
      <w:r w:rsidRPr="00B33EE6">
        <w:rPr>
          <w:sz w:val="20"/>
          <w:highlight w:val="yellow"/>
          <w:lang w:val="en-GB"/>
        </w:rPr>
        <w:t>(</w:t>
      </w:r>
      <w:r w:rsidR="00780EAB" w:rsidRPr="00B33EE6">
        <w:rPr>
          <w:sz w:val="20"/>
          <w:highlight w:val="yellow"/>
          <w:lang w:val="en-GB"/>
        </w:rPr>
        <w:t>Not</w:t>
      </w:r>
      <w:r w:rsidRPr="00B33EE6">
        <w:rPr>
          <w:sz w:val="20"/>
          <w:highlight w:val="yellow"/>
          <w:lang w:val="en-GB"/>
        </w:rPr>
        <w:t xml:space="preserve">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292FC570" w:rsidR="00A36F1C" w:rsidRPr="002B370E" w:rsidRDefault="00A36F1C" w:rsidP="00A36F1C">
      <w:pPr>
        <w:pStyle w:val="Subttol"/>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w:t>
      </w:r>
      <w:proofErr w:type="gramStart"/>
      <w:r w:rsidRPr="00F0288C">
        <w:rPr>
          <w:b w:val="0"/>
          <w:sz w:val="22"/>
          <w:szCs w:val="22"/>
          <w:lang w:val="en-GB"/>
        </w:rPr>
        <w:t>[ ]</w:t>
      </w:r>
      <w:proofErr w:type="gramEnd"/>
      <w:r w:rsidRPr="00F0288C">
        <w:rPr>
          <w:b w:val="0"/>
          <w:sz w:val="22"/>
          <w:szCs w:val="22"/>
          <w:lang w:val="en-GB"/>
        </w:rPr>
        <w:t xml:space="preserve">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w:t>
      </w:r>
      <w:r w:rsidR="00D412C8">
        <w:rPr>
          <w:sz w:val="22"/>
          <w:szCs w:val="22"/>
          <w:lang w:val="en-GB"/>
        </w:rPr>
        <w:t>should</w:t>
      </w:r>
      <w:r w:rsidR="00D412C8" w:rsidRPr="002B370E">
        <w:rPr>
          <w:sz w:val="22"/>
          <w:szCs w:val="22"/>
          <w:lang w:val="en-GB"/>
        </w:rPr>
        <w:t xml:space="preserve">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53186751" w:rsidR="006F5FD0" w:rsidRPr="00B33EE6" w:rsidRDefault="006F5FD0">
      <w:pPr>
        <w:jc w:val="center"/>
        <w:rPr>
          <w:rStyle w:val="Textennegreta"/>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Textennegreta"/>
          <w:sz w:val="28"/>
          <w:szCs w:val="28"/>
          <w:lang w:val="en-GB"/>
        </w:rPr>
        <w:t>&lt;</w:t>
      </w:r>
      <w:r w:rsidRPr="00B33EE6">
        <w:rPr>
          <w:rStyle w:val="Textennegreta"/>
          <w:sz w:val="28"/>
          <w:szCs w:val="28"/>
          <w:highlight w:val="yellow"/>
          <w:lang w:val="en-GB"/>
        </w:rPr>
        <w:t>Contract title</w:t>
      </w:r>
      <w:r w:rsidRPr="00B33EE6">
        <w:rPr>
          <w:rStyle w:val="Textennegreta"/>
          <w:sz w:val="28"/>
          <w:szCs w:val="28"/>
          <w:lang w:val="en-GB"/>
        </w:rPr>
        <w:t>&gt;</w:t>
      </w:r>
      <w:r w:rsidRPr="00B33EE6">
        <w:rPr>
          <w:rStyle w:val="Textennegreta"/>
          <w:sz w:val="28"/>
          <w:szCs w:val="28"/>
          <w:lang w:val="en-GB"/>
        </w:rPr>
        <w:br/>
      </w:r>
      <w:r w:rsidR="00BE3544" w:rsidRPr="00B33EE6">
        <w:rPr>
          <w:rStyle w:val="Textennegreta"/>
          <w:sz w:val="28"/>
          <w:szCs w:val="28"/>
          <w:lang w:val="en-GB"/>
        </w:rPr>
        <w:t>&lt;</w:t>
      </w:r>
      <w:r w:rsidRPr="00B33EE6">
        <w:rPr>
          <w:rStyle w:val="Textennegreta"/>
          <w:sz w:val="28"/>
          <w:szCs w:val="28"/>
          <w:highlight w:val="yellow"/>
          <w:lang w:val="en-GB"/>
        </w:rPr>
        <w:t>Location -</w:t>
      </w:r>
      <w:r w:rsidRPr="00B33EE6">
        <w:rPr>
          <w:rStyle w:val="Textennegreta"/>
          <w:sz w:val="28"/>
          <w:szCs w:val="28"/>
          <w:lang w:val="en-GB"/>
        </w:rPr>
        <w:t xml:space="preserve"> </w:t>
      </w:r>
      <w:r w:rsidRPr="00B33EE6">
        <w:rPr>
          <w:rStyle w:val="mfasi"/>
          <w:i w:val="0"/>
          <w:sz w:val="28"/>
          <w:szCs w:val="28"/>
          <w:highlight w:val="yellow"/>
          <w:lang w:val="en-GB"/>
        </w:rPr>
        <w:t>Area/region and country/countries</w:t>
      </w:r>
      <w:r w:rsidRPr="00B33EE6">
        <w:rPr>
          <w:rStyle w:val="mfasi"/>
          <w:i w:val="0"/>
          <w:sz w:val="28"/>
          <w:szCs w:val="28"/>
          <w:lang w:val="en-GB"/>
        </w:rPr>
        <w:t xml:space="preserve"> </w:t>
      </w:r>
      <w:r w:rsidRPr="00B33EE6">
        <w:rPr>
          <w:rStyle w:val="Textennegreta"/>
          <w:sz w:val="28"/>
          <w:szCs w:val="28"/>
          <w:lang w:val="en-GB"/>
        </w:rPr>
        <w:t>&gt;</w:t>
      </w:r>
    </w:p>
    <w:p w14:paraId="1E3CC1C3" w14:textId="77777777" w:rsidR="00571687" w:rsidRPr="00B33EE6" w:rsidRDefault="00571687" w:rsidP="00584BF4">
      <w:pPr>
        <w:ind w:left="709" w:hanging="349"/>
        <w:outlineLvl w:val="0"/>
        <w:rPr>
          <w:rStyle w:val="Textennegreta"/>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1.</w:t>
      </w:r>
      <w:r w:rsidR="00584BF4" w:rsidRPr="00B33EE6">
        <w:rPr>
          <w:rStyle w:val="Textennegreta"/>
          <w:sz w:val="22"/>
          <w:szCs w:val="22"/>
          <w:lang w:val="en-GB"/>
        </w:rPr>
        <w:tab/>
      </w:r>
      <w:r w:rsidR="00632BDC" w:rsidRPr="00B33EE6">
        <w:rPr>
          <w:rStyle w:val="Textennegreta"/>
          <w:sz w:val="22"/>
          <w:szCs w:val="22"/>
          <w:lang w:val="en-GB"/>
        </w:rPr>
        <w:t>R</w:t>
      </w:r>
      <w:r w:rsidR="006F5FD0" w:rsidRPr="00B33EE6">
        <w:rPr>
          <w:rStyle w:val="Textennegreta"/>
          <w:sz w:val="22"/>
          <w:szCs w:val="22"/>
          <w:lang w:val="en-GB"/>
        </w:rPr>
        <w:t>eference</w:t>
      </w:r>
    </w:p>
    <w:p w14:paraId="49D136FE" w14:textId="77777777" w:rsidR="006F5FD0" w:rsidRPr="00B33EE6" w:rsidRDefault="006F5FD0">
      <w:pPr>
        <w:pStyle w:val="Blockquote"/>
        <w:rPr>
          <w:i/>
          <w:sz w:val="22"/>
          <w:szCs w:val="22"/>
          <w:lang w:val="en-GB"/>
        </w:rPr>
      </w:pPr>
      <w:r w:rsidRPr="00B33EE6">
        <w:rPr>
          <w:rStyle w:val="mfasi"/>
          <w:i w:val="0"/>
          <w:sz w:val="22"/>
          <w:szCs w:val="22"/>
          <w:lang w:val="en-GB"/>
        </w:rPr>
        <w:t xml:space="preserve">&lt; </w:t>
      </w:r>
      <w:r w:rsidR="00632BDC" w:rsidRPr="00B33EE6">
        <w:rPr>
          <w:rStyle w:val="mfasi"/>
          <w:i w:val="0"/>
          <w:sz w:val="22"/>
          <w:szCs w:val="22"/>
          <w:highlight w:val="yellow"/>
          <w:lang w:val="en-GB"/>
        </w:rPr>
        <w:t>R</w:t>
      </w:r>
      <w:r w:rsidRPr="00B33EE6">
        <w:rPr>
          <w:rStyle w:val="mfasi"/>
          <w:i w:val="0"/>
          <w:sz w:val="22"/>
          <w:szCs w:val="22"/>
          <w:highlight w:val="yellow"/>
          <w:lang w:val="en-GB"/>
        </w:rPr>
        <w:t>eference</w:t>
      </w:r>
      <w:r w:rsidRPr="00B33EE6">
        <w:rPr>
          <w:rStyle w:val="mfasi"/>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Textennegreta"/>
          <w:sz w:val="22"/>
          <w:szCs w:val="22"/>
          <w:lang w:val="en-GB"/>
        </w:rPr>
        <w:t>2.</w:t>
      </w:r>
      <w:r w:rsidR="00584BF4" w:rsidRPr="00B33EE6">
        <w:rPr>
          <w:rStyle w:val="Textennegreta"/>
          <w:sz w:val="22"/>
          <w:szCs w:val="22"/>
          <w:lang w:val="en-GB"/>
        </w:rPr>
        <w:tab/>
      </w:r>
      <w:r w:rsidR="006F5FD0" w:rsidRPr="00B33EE6">
        <w:rPr>
          <w:rStyle w:val="Textennegreta"/>
          <w:sz w:val="22"/>
          <w:szCs w:val="22"/>
          <w:lang w:val="en-GB"/>
        </w:rPr>
        <w:t>Procedure</w:t>
      </w:r>
    </w:p>
    <w:p w14:paraId="41C9370C" w14:textId="77FEC471" w:rsidR="006F5FD0" w:rsidRPr="00B33EE6" w:rsidRDefault="00AD1E4D" w:rsidP="00C867B9">
      <w:pPr>
        <w:pStyle w:val="Blockquote"/>
        <w:ind w:left="0"/>
        <w:jc w:val="both"/>
        <w:rPr>
          <w:sz w:val="22"/>
          <w:szCs w:val="22"/>
          <w:lang w:val="en-GB"/>
        </w:rPr>
      </w:pPr>
      <w:r>
        <w:rPr>
          <w:sz w:val="22"/>
          <w:szCs w:val="22"/>
          <w:highlight w:val="lightGray"/>
          <w:lang w:val="en-GB"/>
        </w:rPr>
        <w:t xml:space="preserve">  </w:t>
      </w:r>
      <w:r w:rsidR="003B49B9">
        <w:rPr>
          <w:sz w:val="22"/>
          <w:szCs w:val="22"/>
          <w:highlight w:val="lightGray"/>
          <w:lang w:val="en-GB"/>
        </w:rPr>
        <w:t>[Open local]</w:t>
      </w:r>
      <w:r>
        <w:rPr>
          <w:sz w:val="22"/>
          <w:szCs w:val="22"/>
          <w:highlight w:val="lightGray"/>
          <w:lang w:val="en-GB"/>
        </w:rPr>
        <w:t xml:space="preserve"> [Simplified]</w:t>
      </w:r>
      <w:r w:rsidR="00F86AAA">
        <w:rPr>
          <w:sz w:val="22"/>
          <w:szCs w:val="22"/>
          <w:highlight w:val="lightGray"/>
          <w:lang w:val="en-GB"/>
        </w:rPr>
        <w:t>[Negotiated]</w:t>
      </w:r>
    </w:p>
    <w:p w14:paraId="5F51B1AE" w14:textId="77777777" w:rsidR="00971962" w:rsidRPr="00B33EE6" w:rsidRDefault="006F5FD0" w:rsidP="00971962">
      <w:pPr>
        <w:ind w:left="709" w:hanging="349"/>
        <w:outlineLvl w:val="0"/>
        <w:rPr>
          <w:b/>
          <w:sz w:val="22"/>
          <w:szCs w:val="22"/>
          <w:lang w:val="en-GB"/>
        </w:rPr>
      </w:pPr>
      <w:r w:rsidRPr="00B33EE6">
        <w:rPr>
          <w:rStyle w:val="Textennegreta"/>
          <w:sz w:val="22"/>
          <w:szCs w:val="22"/>
          <w:lang w:val="en-GB"/>
        </w:rPr>
        <w:t xml:space="preserve">3. </w:t>
      </w:r>
      <w:r w:rsidR="00584BF4" w:rsidRPr="00B33EE6">
        <w:rPr>
          <w:rStyle w:val="Textennegreta"/>
          <w:sz w:val="22"/>
          <w:szCs w:val="22"/>
          <w:lang w:val="en-GB"/>
        </w:rPr>
        <w:tab/>
      </w:r>
      <w:r w:rsidRPr="00B33EE6">
        <w:rPr>
          <w:rStyle w:val="Textennegreta"/>
          <w:sz w:val="22"/>
          <w:szCs w:val="22"/>
          <w:lang w:val="en-GB"/>
        </w:rPr>
        <w:t>Programme</w:t>
      </w:r>
      <w:r w:rsidR="00971962" w:rsidRPr="00B33EE6">
        <w:rPr>
          <w:rStyle w:val="Textennegreta"/>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mfasi"/>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4. </w:t>
      </w:r>
      <w:r w:rsidR="00584BF4" w:rsidRPr="00B33EE6">
        <w:rPr>
          <w:rStyle w:val="Textennegreta"/>
          <w:sz w:val="22"/>
          <w:szCs w:val="22"/>
          <w:lang w:val="en-GB"/>
        </w:rPr>
        <w:tab/>
      </w:r>
      <w:r w:rsidRPr="00B33EE6">
        <w:rPr>
          <w:rStyle w:val="Textennegreta"/>
          <w:sz w:val="22"/>
          <w:szCs w:val="22"/>
          <w:lang w:val="en-GB"/>
        </w:rPr>
        <w:t>Financing</w:t>
      </w:r>
    </w:p>
    <w:p w14:paraId="0F532635" w14:textId="6F9FDE5E" w:rsidR="00502217" w:rsidRPr="00B33EE6" w:rsidRDefault="00551429" w:rsidP="00502217">
      <w:pPr>
        <w:pStyle w:val="Blockquote"/>
        <w:jc w:val="both"/>
        <w:rPr>
          <w:sz w:val="22"/>
          <w:szCs w:val="22"/>
          <w:lang w:val="en-GB"/>
        </w:rPr>
      </w:pPr>
      <w:r w:rsidRPr="00B33EE6">
        <w:rPr>
          <w:rStyle w:val="mfasi"/>
          <w:i w:val="0"/>
          <w:sz w:val="22"/>
          <w:szCs w:val="22"/>
          <w:lang w:val="en-GB"/>
        </w:rPr>
        <w:t>&lt;</w:t>
      </w:r>
      <w:r w:rsidR="003F7772">
        <w:rPr>
          <w:rStyle w:val="mfasi"/>
          <w:i w:val="0"/>
          <w:sz w:val="22"/>
          <w:szCs w:val="22"/>
          <w:highlight w:val="yellow"/>
          <w:lang w:val="en-GB"/>
        </w:rPr>
        <w:t>Reference grant contract</w:t>
      </w:r>
      <w:r w:rsidRPr="00B33EE6">
        <w:rPr>
          <w:rStyle w:val="mfasi"/>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5. </w:t>
      </w:r>
      <w:r w:rsidR="00584BF4" w:rsidRPr="00B33EE6">
        <w:rPr>
          <w:rStyle w:val="Textennegreta"/>
          <w:sz w:val="22"/>
          <w:szCs w:val="22"/>
          <w:lang w:val="en-GB"/>
        </w:rPr>
        <w:tab/>
      </w:r>
      <w:r w:rsidRPr="00B33EE6">
        <w:rPr>
          <w:rStyle w:val="Textennegreta"/>
          <w:sz w:val="22"/>
          <w:szCs w:val="22"/>
          <w:lang w:val="en-GB"/>
        </w:rPr>
        <w:t xml:space="preserve">Contracting </w:t>
      </w:r>
      <w:r w:rsidR="00FE4E4B">
        <w:rPr>
          <w:rStyle w:val="Textennegreta"/>
          <w:sz w:val="22"/>
          <w:szCs w:val="22"/>
          <w:lang w:val="en-GB"/>
        </w:rPr>
        <w:t>a</w:t>
      </w:r>
      <w:r w:rsidRPr="00B33EE6">
        <w:rPr>
          <w:rStyle w:val="Textennegreta"/>
          <w:sz w:val="22"/>
          <w:szCs w:val="22"/>
          <w:lang w:val="en-GB"/>
        </w:rPr>
        <w:t>uthority</w:t>
      </w:r>
    </w:p>
    <w:p w14:paraId="2259BEAD" w14:textId="0F0E743B" w:rsidR="006F5FD0" w:rsidRDefault="009E5BC1" w:rsidP="00B33EE6">
      <w:pPr>
        <w:ind w:left="357" w:right="357"/>
        <w:jc w:val="both"/>
        <w:rPr>
          <w:rStyle w:val="mfasi"/>
          <w:i w:val="0"/>
          <w:sz w:val="22"/>
          <w:szCs w:val="22"/>
          <w:lang w:val="en-GB"/>
        </w:rPr>
      </w:pPr>
      <w:r w:rsidRPr="00B33EE6">
        <w:rPr>
          <w:rStyle w:val="mfasi"/>
          <w:i w:val="0"/>
          <w:sz w:val="22"/>
          <w:szCs w:val="22"/>
          <w:highlight w:val="yellow"/>
          <w:lang w:val="en-GB"/>
        </w:rPr>
        <w:t>&lt;</w:t>
      </w:r>
      <w:r w:rsidR="003F7772">
        <w:rPr>
          <w:rStyle w:val="mfasi"/>
          <w:i w:val="0"/>
          <w:sz w:val="22"/>
          <w:szCs w:val="22"/>
          <w:highlight w:val="yellow"/>
          <w:lang w:val="en-GB"/>
        </w:rPr>
        <w:t>Name of institution</w:t>
      </w:r>
      <w:r w:rsidR="006F5FD0" w:rsidRPr="00B33EE6">
        <w:rPr>
          <w:rStyle w:val="mfasi"/>
          <w:i w:val="0"/>
          <w:sz w:val="22"/>
          <w:szCs w:val="22"/>
          <w:lang w:val="en-GB"/>
        </w:rPr>
        <w:t xml:space="preserve"> &gt;</w:t>
      </w:r>
    </w:p>
    <w:p w14:paraId="67F4A905" w14:textId="6757C21C"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5552DF92">
                <wp:simplePos x="0" y="0"/>
                <wp:positionH relativeFrom="column">
                  <wp:posOffset>0</wp:posOffset>
                </wp:positionH>
                <wp:positionV relativeFrom="paragraph">
                  <wp:posOffset>152400</wp:posOffset>
                </wp:positionV>
                <wp:extent cx="5943600" cy="635"/>
                <wp:effectExtent l="0" t="0" r="0" b="0"/>
                <wp:wrapNone/>
                <wp:docPr id="209887809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2E69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Textennegreta"/>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6. </w:t>
      </w:r>
      <w:r w:rsidR="00584BF4" w:rsidRPr="00B33EE6">
        <w:rPr>
          <w:rStyle w:val="Textennegreta"/>
          <w:sz w:val="22"/>
          <w:szCs w:val="22"/>
          <w:lang w:val="en-GB"/>
        </w:rPr>
        <w:tab/>
      </w:r>
      <w:r w:rsidRPr="00B33EE6">
        <w:rPr>
          <w:rStyle w:val="Textennegreta"/>
          <w:sz w:val="22"/>
          <w:szCs w:val="22"/>
          <w:lang w:val="en-GB"/>
        </w:rPr>
        <w:t>Nature of contract</w:t>
      </w:r>
    </w:p>
    <w:p w14:paraId="71099A85" w14:textId="612ECB6C" w:rsidR="006F5FD0" w:rsidRPr="00B33EE6" w:rsidRDefault="008A1184">
      <w:pPr>
        <w:pStyle w:val="Blockquote"/>
        <w:jc w:val="both"/>
        <w:rPr>
          <w:i/>
          <w:sz w:val="22"/>
          <w:szCs w:val="22"/>
          <w:lang w:val="en-GB"/>
        </w:rPr>
      </w:pPr>
      <w:r>
        <w:rPr>
          <w:rStyle w:val="mfasi"/>
          <w:i w:val="0"/>
          <w:sz w:val="22"/>
          <w:szCs w:val="22"/>
          <w:lang w:val="en-GB"/>
        </w:rPr>
        <w:t xml:space="preserve"> </w:t>
      </w:r>
      <w:r w:rsidRPr="008A1184">
        <w:rPr>
          <w:rStyle w:val="mfasi"/>
          <w:i w:val="0"/>
          <w:sz w:val="22"/>
          <w:szCs w:val="22"/>
          <w:lang w:val="en-GB"/>
        </w:rPr>
        <w:t>[</w:t>
      </w:r>
      <w:r w:rsidRPr="008660AD">
        <w:rPr>
          <w:rStyle w:val="mfasi"/>
          <w:i w:val="0"/>
          <w:sz w:val="22"/>
          <w:szCs w:val="22"/>
          <w:highlight w:val="lightGray"/>
          <w:lang w:val="en-GB"/>
        </w:rPr>
        <w:t>lump sum</w:t>
      </w:r>
      <w:r w:rsidRPr="008A1184">
        <w:rPr>
          <w:rStyle w:val="mfasi"/>
          <w:i w:val="0"/>
          <w:sz w:val="22"/>
          <w:szCs w:val="22"/>
          <w:lang w:val="en-GB"/>
        </w:rPr>
        <w:t>] [</w:t>
      </w:r>
      <w:r w:rsidRPr="008660AD">
        <w:rPr>
          <w:rStyle w:val="mfasi"/>
          <w:i w:val="0"/>
          <w:sz w:val="22"/>
          <w:szCs w:val="22"/>
          <w:highlight w:val="lightGray"/>
          <w:lang w:val="en-GB"/>
        </w:rPr>
        <w:t>unit-price</w:t>
      </w:r>
      <w:r w:rsidRPr="008A1184">
        <w:rPr>
          <w:rStyle w:val="mfasi"/>
          <w:i w:val="0"/>
          <w:sz w:val="22"/>
          <w:szCs w:val="22"/>
          <w:lang w:val="en-GB"/>
        </w:rPr>
        <w:t xml:space="preserve">] </w:t>
      </w:r>
      <w:r w:rsidRPr="008660AD">
        <w:rPr>
          <w:rStyle w:val="mfasi"/>
          <w:i w:val="0"/>
          <w:sz w:val="22"/>
          <w:szCs w:val="22"/>
          <w:highlight w:val="lightGray"/>
          <w:lang w:val="en-GB"/>
        </w:rPr>
        <w:t>[hybrid</w:t>
      </w:r>
      <w:r w:rsidRPr="008A1184">
        <w:rPr>
          <w:rStyle w:val="mfasi"/>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Textennegreta"/>
          <w:sz w:val="22"/>
          <w:szCs w:val="22"/>
          <w:lang w:val="en-GB"/>
        </w:rPr>
        <w:t xml:space="preserve">7. </w:t>
      </w:r>
      <w:r w:rsidR="00584BF4" w:rsidRPr="00B33EE6">
        <w:rPr>
          <w:rStyle w:val="Textennegreta"/>
          <w:sz w:val="22"/>
          <w:szCs w:val="22"/>
          <w:lang w:val="en-GB"/>
        </w:rPr>
        <w:tab/>
      </w:r>
      <w:r w:rsidRPr="00B33EE6">
        <w:rPr>
          <w:rStyle w:val="Textennegreta"/>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Recommended 10 </w:t>
      </w:r>
      <w:r w:rsidR="00502217" w:rsidRPr="00B33EE6">
        <w:rPr>
          <w:rStyle w:val="mfasi"/>
          <w:i w:val="0"/>
          <w:sz w:val="22"/>
          <w:szCs w:val="22"/>
          <w:highlight w:val="yellow"/>
          <w:lang w:val="en-GB"/>
        </w:rPr>
        <w:t>lines</w:t>
      </w:r>
      <w:r w:rsidR="00B14398" w:rsidRPr="00B33EE6">
        <w:rPr>
          <w:rStyle w:val="mfasi"/>
          <w:i w:val="0"/>
          <w:sz w:val="22"/>
          <w:szCs w:val="22"/>
          <w:highlight w:val="yellow"/>
          <w:lang w:val="en-GB"/>
        </w:rPr>
        <w:t>, maximum</w:t>
      </w:r>
      <w:r w:rsidR="007471C5" w:rsidRPr="00B33EE6">
        <w:rPr>
          <w:rStyle w:val="mfasi"/>
          <w:i w:val="0"/>
          <w:sz w:val="22"/>
          <w:szCs w:val="22"/>
          <w:highlight w:val="yellow"/>
          <w:lang w:val="en-GB"/>
        </w:rPr>
        <w:t xml:space="preserve"> </w:t>
      </w:r>
      <w:r w:rsidR="00502217" w:rsidRPr="00B33EE6">
        <w:rPr>
          <w:rStyle w:val="mfasi"/>
          <w:i w:val="0"/>
          <w:sz w:val="22"/>
          <w:szCs w:val="22"/>
          <w:highlight w:val="yellow"/>
          <w:lang w:val="en-GB"/>
        </w:rPr>
        <w:t xml:space="preserve">20 </w:t>
      </w:r>
      <w:r w:rsidR="00B14398" w:rsidRPr="00B33EE6">
        <w:rPr>
          <w:rStyle w:val="mfasi"/>
          <w:i w:val="0"/>
          <w:sz w:val="22"/>
          <w:szCs w:val="22"/>
          <w:highlight w:val="yellow"/>
          <w:lang w:val="en-GB"/>
        </w:rPr>
        <w:t>lines</w:t>
      </w:r>
      <w:r w:rsidRPr="00B33EE6">
        <w:rPr>
          <w:rStyle w:val="mfasi"/>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 xml:space="preserve">8. </w:t>
      </w:r>
      <w:r w:rsidR="00584BF4" w:rsidRPr="00B33EE6">
        <w:rPr>
          <w:rStyle w:val="Textennegreta"/>
          <w:sz w:val="22"/>
          <w:szCs w:val="22"/>
          <w:lang w:val="en-GB"/>
        </w:rPr>
        <w:tab/>
      </w:r>
      <w:r w:rsidRPr="00B33EE6">
        <w:rPr>
          <w:rStyle w:val="Textennegreta"/>
          <w:sz w:val="22"/>
          <w:szCs w:val="22"/>
          <w:lang w:val="en-GB"/>
        </w:rPr>
        <w:t>Number and titles of lots</w:t>
      </w:r>
    </w:p>
    <w:p w14:paraId="51502A56" w14:textId="77777777" w:rsidR="00E9047D" w:rsidRPr="00B33EE6" w:rsidRDefault="00364564" w:rsidP="00584BF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lightGray"/>
          <w:lang w:val="en-GB"/>
        </w:rPr>
        <w:t>O</w:t>
      </w:r>
      <w:r w:rsidR="00DA0ABA" w:rsidRPr="00B33EE6">
        <w:rPr>
          <w:rStyle w:val="mfasi"/>
          <w:i w:val="0"/>
          <w:sz w:val="22"/>
          <w:szCs w:val="22"/>
          <w:highlight w:val="lightGray"/>
          <w:lang w:val="en-GB"/>
        </w:rPr>
        <w:t>ne lot only</w:t>
      </w:r>
      <w:r w:rsidRPr="00B33EE6">
        <w:rPr>
          <w:rStyle w:val="mfasi"/>
          <w:i w:val="0"/>
          <w:sz w:val="22"/>
          <w:szCs w:val="22"/>
          <w:lang w:val="en-GB"/>
        </w:rPr>
        <w:t>]</w:t>
      </w:r>
    </w:p>
    <w:p w14:paraId="0B7507A0" w14:textId="55289339" w:rsidR="00571687" w:rsidRPr="00B33EE6" w:rsidRDefault="00364564" w:rsidP="0036456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yellow"/>
          <w:lang w:val="en-GB"/>
        </w:rPr>
        <w:t>If more than one lot:</w:t>
      </w:r>
      <w:r w:rsidRPr="00B33EE6">
        <w:rPr>
          <w:rStyle w:val="mfasi"/>
          <w:i w:val="0"/>
          <w:sz w:val="22"/>
          <w:szCs w:val="22"/>
          <w:lang w:val="en-GB"/>
        </w:rPr>
        <w:t xml:space="preserve"> &lt;</w:t>
      </w:r>
      <w:r w:rsidR="00DA0ABA" w:rsidRPr="00B33EE6">
        <w:rPr>
          <w:rStyle w:val="mfasi"/>
          <w:i w:val="0"/>
          <w:sz w:val="22"/>
          <w:szCs w:val="22"/>
          <w:highlight w:val="yellow"/>
          <w:lang w:val="en-GB"/>
        </w:rPr>
        <w:t xml:space="preserve">number of </w:t>
      </w:r>
      <w:proofErr w:type="gramStart"/>
      <w:r w:rsidR="00DA0ABA" w:rsidRPr="00B33EE6">
        <w:rPr>
          <w:rStyle w:val="mfasi"/>
          <w:i w:val="0"/>
          <w:sz w:val="22"/>
          <w:szCs w:val="22"/>
          <w:highlight w:val="yellow"/>
          <w:lang w:val="en-GB"/>
        </w:rPr>
        <w:t>lots :</w:t>
      </w:r>
      <w:proofErr w:type="gramEnd"/>
      <w:r w:rsidR="00DA0ABA" w:rsidRPr="00B33EE6">
        <w:rPr>
          <w:rStyle w:val="mfasi"/>
          <w:i w:val="0"/>
          <w:sz w:val="22"/>
          <w:szCs w:val="22"/>
          <w:lang w:val="en-GB"/>
        </w:rPr>
        <w:t xml:space="preserve"> </w:t>
      </w:r>
      <w:r w:rsidR="006F5FD0" w:rsidRPr="00B33EE6">
        <w:rPr>
          <w:rStyle w:val="mfasi"/>
          <w:i w:val="0"/>
          <w:sz w:val="22"/>
          <w:szCs w:val="22"/>
          <w:lang w:val="en-GB"/>
        </w:rPr>
        <w:t>&gt;</w:t>
      </w:r>
    </w:p>
    <w:p w14:paraId="23B24B8F" w14:textId="77777777" w:rsidR="00DA0ABA" w:rsidRPr="00B33EE6" w:rsidRDefault="00E9047D" w:rsidP="00584BF4">
      <w:pPr>
        <w:ind w:left="709" w:hanging="349"/>
        <w:outlineLvl w:val="0"/>
        <w:rPr>
          <w:rStyle w:val="mfasi"/>
          <w:i w:val="0"/>
          <w:sz w:val="22"/>
          <w:szCs w:val="22"/>
          <w:highlight w:val="lightGray"/>
          <w:lang w:val="en-GB"/>
        </w:rPr>
      </w:pPr>
      <w:r w:rsidRPr="00B33EE6">
        <w:rPr>
          <w:rStyle w:val="mfasi"/>
          <w:i w:val="0"/>
          <w:sz w:val="22"/>
          <w:szCs w:val="22"/>
          <w:lang w:val="en-GB"/>
        </w:rPr>
        <w:t>&lt;</w:t>
      </w:r>
      <w:r w:rsidR="00DA0ABA" w:rsidRPr="00B33EE6">
        <w:rPr>
          <w:rStyle w:val="mfasi"/>
          <w:i w:val="0"/>
          <w:sz w:val="22"/>
          <w:szCs w:val="22"/>
          <w:highlight w:val="lightGray"/>
          <w:lang w:val="en-GB"/>
        </w:rPr>
        <w:t>Lots    Titles:</w:t>
      </w:r>
    </w:p>
    <w:p w14:paraId="0A097CE7" w14:textId="5C7FCB98" w:rsidR="00DA0ABA" w:rsidRPr="00B33EE6" w:rsidRDefault="00DA0ABA" w:rsidP="00584BF4">
      <w:pPr>
        <w:ind w:left="709" w:hanging="349"/>
        <w:outlineLvl w:val="0"/>
        <w:rPr>
          <w:rStyle w:val="mfasi"/>
          <w:i w:val="0"/>
          <w:sz w:val="22"/>
          <w:szCs w:val="22"/>
          <w:highlight w:val="lightGray"/>
          <w:lang w:val="en-GB"/>
        </w:rPr>
      </w:pPr>
      <w:r w:rsidRPr="00B33EE6">
        <w:rPr>
          <w:rStyle w:val="mfasi"/>
          <w:i w:val="0"/>
          <w:sz w:val="22"/>
          <w:szCs w:val="22"/>
          <w:highlight w:val="lightGray"/>
          <w:lang w:val="en-GB"/>
        </w:rPr>
        <w:lastRenderedPageBreak/>
        <w:t>01</w:t>
      </w:r>
      <w:r w:rsidR="00846F87">
        <w:rPr>
          <w:rStyle w:val="mfasi"/>
          <w:i w:val="0"/>
          <w:sz w:val="22"/>
          <w:szCs w:val="22"/>
          <w:highlight w:val="lightGray"/>
          <w:lang w:val="en-GB"/>
        </w:rPr>
        <w:t xml:space="preserve"> </w:t>
      </w:r>
      <w:proofErr w:type="gramStart"/>
      <w:r w:rsidR="00846F87">
        <w:rPr>
          <w:rStyle w:val="mfasi"/>
          <w:i w:val="0"/>
          <w:sz w:val="22"/>
          <w:szCs w:val="22"/>
          <w:highlight w:val="lightGray"/>
          <w:lang w:val="en-GB"/>
        </w:rPr>
        <w:t xml:space="preserve">&lt;  </w:t>
      </w:r>
      <w:r w:rsidR="00846F87" w:rsidRPr="008660AD">
        <w:rPr>
          <w:rStyle w:val="mfasi"/>
          <w:i w:val="0"/>
          <w:sz w:val="22"/>
          <w:szCs w:val="22"/>
          <w:highlight w:val="yellow"/>
          <w:lang w:val="en-GB"/>
        </w:rPr>
        <w:t>title</w:t>
      </w:r>
      <w:proofErr w:type="gramEnd"/>
      <w:r w:rsidR="00846F87">
        <w:rPr>
          <w:rStyle w:val="mfasi"/>
          <w:i w:val="0"/>
          <w:sz w:val="22"/>
          <w:szCs w:val="22"/>
          <w:highlight w:val="lightGray"/>
          <w:lang w:val="en-GB"/>
        </w:rPr>
        <w:t>&gt;</w:t>
      </w:r>
    </w:p>
    <w:p w14:paraId="29095621" w14:textId="74847D9E" w:rsidR="00DA0ABA" w:rsidRPr="00B33EE6" w:rsidRDefault="00DA0ABA" w:rsidP="00584BF4">
      <w:pPr>
        <w:ind w:left="709" w:hanging="349"/>
        <w:outlineLvl w:val="0"/>
        <w:rPr>
          <w:rStyle w:val="mfasi"/>
          <w:i w:val="0"/>
          <w:sz w:val="22"/>
          <w:szCs w:val="22"/>
          <w:lang w:val="en-GB"/>
        </w:rPr>
      </w:pPr>
      <w:r w:rsidRPr="00846F87">
        <w:rPr>
          <w:rStyle w:val="mfasi"/>
          <w:i w:val="0"/>
          <w:sz w:val="22"/>
          <w:szCs w:val="22"/>
          <w:highlight w:val="lightGray"/>
          <w:lang w:val="en-GB"/>
        </w:rPr>
        <w:t>02</w:t>
      </w:r>
      <w:r w:rsidR="00846F87" w:rsidRPr="008660AD">
        <w:rPr>
          <w:rStyle w:val="mfasi"/>
          <w:i w:val="0"/>
          <w:sz w:val="22"/>
          <w:szCs w:val="22"/>
          <w:highlight w:val="lightGray"/>
          <w:lang w:val="en-GB"/>
        </w:rPr>
        <w:t xml:space="preserve"> &lt; </w:t>
      </w:r>
      <w:r w:rsidR="00846F87" w:rsidRPr="008660AD">
        <w:rPr>
          <w:rStyle w:val="mfasi"/>
          <w:i w:val="0"/>
          <w:sz w:val="22"/>
          <w:szCs w:val="22"/>
          <w:highlight w:val="yellow"/>
          <w:lang w:val="en-GB"/>
        </w:rPr>
        <w:t>title</w:t>
      </w:r>
      <w:r w:rsidR="00846F87" w:rsidRPr="008660AD">
        <w:rPr>
          <w:rStyle w:val="mfasi"/>
          <w:i w:val="0"/>
          <w:sz w:val="22"/>
          <w:szCs w:val="22"/>
          <w:highlight w:val="lightGray"/>
          <w:lang w:val="en-GB"/>
        </w:rPr>
        <w:t>&gt;</w:t>
      </w:r>
      <w:r w:rsidR="00846F87">
        <w:rPr>
          <w:rStyle w:val="mfasi"/>
          <w:i w:val="0"/>
          <w:sz w:val="22"/>
          <w:szCs w:val="22"/>
          <w:lang w:val="en-GB"/>
        </w:rPr>
        <w:t xml:space="preserve"> </w:t>
      </w:r>
    </w:p>
    <w:p w14:paraId="6639E9E8" w14:textId="1268F442" w:rsidR="00DA0ABA" w:rsidRPr="00B33EE6" w:rsidRDefault="00846F87" w:rsidP="008660AD">
      <w:pPr>
        <w:ind w:firstLine="360"/>
        <w:outlineLvl w:val="0"/>
        <w:rPr>
          <w:rStyle w:val="mfasi"/>
          <w:i w:val="0"/>
          <w:sz w:val="22"/>
          <w:szCs w:val="22"/>
          <w:lang w:val="en-GB"/>
        </w:rPr>
      </w:pPr>
      <w:r>
        <w:rPr>
          <w:rStyle w:val="mfasi"/>
          <w:i w:val="0"/>
          <w:sz w:val="22"/>
          <w:szCs w:val="22"/>
          <w:highlight w:val="yellow"/>
          <w:lang w:val="en-GB"/>
        </w:rPr>
        <w:t>&lt;no. and title</w:t>
      </w:r>
      <w:r>
        <w:rPr>
          <w:rStyle w:val="mfasi"/>
          <w:i w:val="0"/>
          <w:sz w:val="22"/>
          <w:szCs w:val="22"/>
          <w:lang w:val="en-GB"/>
        </w:rPr>
        <w:t>&gt;]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Textennegreta"/>
          <w:sz w:val="22"/>
          <w:szCs w:val="22"/>
          <w:lang w:val="en-GB"/>
        </w:rPr>
        <w:t xml:space="preserve">9. </w:t>
      </w:r>
      <w:r w:rsidR="00584BF4" w:rsidRPr="00B33EE6">
        <w:rPr>
          <w:rStyle w:val="Textennegreta"/>
          <w:sz w:val="22"/>
          <w:szCs w:val="22"/>
          <w:lang w:val="en-GB"/>
        </w:rPr>
        <w:tab/>
      </w:r>
    </w:p>
    <w:p w14:paraId="6C843D95" w14:textId="6B2FEAB4" w:rsidR="006F5FD0" w:rsidRPr="00B33EE6" w:rsidRDefault="00381DC6">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1E8B906A">
                <wp:simplePos x="0" y="0"/>
                <wp:positionH relativeFrom="column">
                  <wp:posOffset>-13335</wp:posOffset>
                </wp:positionH>
                <wp:positionV relativeFrom="paragraph">
                  <wp:posOffset>222885</wp:posOffset>
                </wp:positionV>
                <wp:extent cx="5943600" cy="635"/>
                <wp:effectExtent l="0" t="0" r="0" b="0"/>
                <wp:wrapNone/>
                <wp:docPr id="3419345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3968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Textennegreta"/>
          <w:sz w:val="28"/>
          <w:szCs w:val="28"/>
          <w:lang w:val="en-GB"/>
        </w:rPr>
        <w:t>CONDITIONS OF PARTICIPATION</w:t>
      </w:r>
    </w:p>
    <w:p w14:paraId="2CB5FCF7" w14:textId="2F0B6D75" w:rsidR="00B9793F" w:rsidRDefault="00B9793F" w:rsidP="008660AD">
      <w:pPr>
        <w:pStyle w:val="Textdenotaapeudepgina"/>
        <w:ind w:firstLine="426"/>
        <w:rPr>
          <w:rStyle w:val="Textennegreta"/>
          <w:sz w:val="22"/>
          <w:szCs w:val="22"/>
          <w:lang w:val="en-GB"/>
        </w:rPr>
      </w:pPr>
      <w:r>
        <w:rPr>
          <w:rStyle w:val="Textennegreta"/>
          <w:sz w:val="22"/>
          <w:szCs w:val="22"/>
          <w:lang w:val="en-GB"/>
        </w:rPr>
        <w:t xml:space="preserve">10. </w:t>
      </w:r>
      <w:r w:rsidRPr="00D97139">
        <w:rPr>
          <w:rStyle w:val="Textennegreta"/>
          <w:sz w:val="22"/>
          <w:szCs w:val="22"/>
          <w:lang w:val="en-GB"/>
        </w:rPr>
        <w:t>Legal basis</w:t>
      </w:r>
    </w:p>
    <w:p w14:paraId="71EA1ECF" w14:textId="6CEFF494" w:rsidR="00771F85" w:rsidRDefault="00B9793F" w:rsidP="00D2551C">
      <w:pPr>
        <w:pStyle w:val="paragraph"/>
        <w:spacing w:before="0" w:beforeAutospacing="0" w:after="0" w:afterAutospacing="0"/>
        <w:textAlignment w:val="baseline"/>
        <w:rPr>
          <w:iCs/>
          <w:sz w:val="22"/>
          <w:szCs w:val="22"/>
          <w:highlight w:val="yellow"/>
          <w:lang w:val="en-IE"/>
        </w:rPr>
      </w:pPr>
      <w:r w:rsidRPr="00F72244">
        <w:rPr>
          <w:rStyle w:val="eop"/>
          <w:color w:val="FF0000"/>
          <w:sz w:val="22"/>
          <w:szCs w:val="22"/>
          <w:lang w:val="en-US"/>
        </w:rPr>
        <w:t> </w:t>
      </w:r>
    </w:p>
    <w:p w14:paraId="3B54E851" w14:textId="51633DCD" w:rsidR="00B9793F" w:rsidRPr="00C348D5" w:rsidRDefault="00B9793F" w:rsidP="00D2551C">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w:t>
      </w:r>
      <w:r w:rsidR="005877D2">
        <w:rPr>
          <w:iCs/>
          <w:sz w:val="22"/>
          <w:szCs w:val="22"/>
          <w:highlight w:val="yellow"/>
          <w:lang w:val="en-IE"/>
        </w:rPr>
        <w:t>Name of Interreg programme]</w:t>
      </w:r>
      <w:r w:rsidR="00D2551C" w:rsidRPr="00D2551C">
        <w:rPr>
          <w:iCs/>
          <w:sz w:val="22"/>
          <w:szCs w:val="22"/>
          <w:lang w:val="en-IE"/>
        </w:rPr>
        <w:t>, under the Regulation 2021/1059 (Interreg Regulation).</w:t>
      </w: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Textennegreta"/>
          <w:sz w:val="22"/>
          <w:szCs w:val="22"/>
          <w:lang w:val="en-GB"/>
        </w:rPr>
        <w:t>1</w:t>
      </w:r>
      <w:r w:rsidR="00632BDC" w:rsidRPr="00B33EE6">
        <w:rPr>
          <w:rStyle w:val="Textennegreta"/>
          <w:sz w:val="22"/>
          <w:szCs w:val="22"/>
          <w:lang w:val="en-GB"/>
        </w:rPr>
        <w:t>1</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Number of </w:t>
      </w:r>
      <w:r w:rsidR="00632BDC" w:rsidRPr="00B33EE6">
        <w:rPr>
          <w:rStyle w:val="Textennegreta"/>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3B4852FC" w:rsidR="00E1782A" w:rsidRDefault="004E1482" w:rsidP="007727F3">
      <w:pPr>
        <w:pStyle w:val="Blockquote"/>
        <w:jc w:val="both"/>
        <w:rPr>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w:t>
      </w:r>
      <w:proofErr w:type="gramStart"/>
      <w:r w:rsidRPr="00B33EE6">
        <w:rPr>
          <w:sz w:val="22"/>
          <w:szCs w:val="22"/>
          <w:highlight w:val="lightGray"/>
          <w:lang w:val="en-GB"/>
        </w:rPr>
        <w:t>all of</w:t>
      </w:r>
      <w:proofErr w:type="gramEnd"/>
      <w:r w:rsidRPr="00B33EE6">
        <w:rPr>
          <w:sz w:val="22"/>
          <w:szCs w:val="22"/>
          <w:highlight w:val="lightGray"/>
          <w:lang w:val="en-GB"/>
        </w:rPr>
        <w:t xml:space="preserve">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60A454E0" w14:textId="717A6868" w:rsidR="001A66C2" w:rsidRPr="00B33EE6" w:rsidRDefault="001A66C2" w:rsidP="00D902F5">
      <w:pPr>
        <w:widowControl/>
        <w:snapToGrid w:val="0"/>
        <w:ind w:left="360" w:right="26"/>
        <w:jc w:val="both"/>
        <w:rPr>
          <w:i/>
          <w:sz w:val="22"/>
          <w:szCs w:val="22"/>
          <w:lang w:val="en-GB"/>
        </w:rPr>
      </w:pPr>
      <w:r w:rsidRPr="003F1149">
        <w:rPr>
          <w:sz w:val="22"/>
          <w:szCs w:val="22"/>
          <w:lang w:val="en-GB"/>
        </w:rPr>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632BDC" w:rsidRPr="00B33EE6">
        <w:rPr>
          <w:rStyle w:val="Textennegreta"/>
          <w:sz w:val="22"/>
          <w:szCs w:val="22"/>
          <w:lang w:val="en-GB"/>
        </w:rPr>
        <w:t>2</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Grounds for exclusion</w:t>
      </w:r>
    </w:p>
    <w:p w14:paraId="796D557F" w14:textId="0B9A5B4E"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 xml:space="preserve">in </w:t>
      </w:r>
      <w:r w:rsidR="00AB4855">
        <w:rPr>
          <w:sz w:val="22"/>
          <w:szCs w:val="22"/>
          <w:lang w:val="en-GB"/>
        </w:rPr>
        <w:t>[</w:t>
      </w:r>
      <w:r w:rsidR="00D902F5" w:rsidRPr="00360528">
        <w:rPr>
          <w:sz w:val="22"/>
          <w:szCs w:val="22"/>
          <w:shd w:val="clear" w:color="auto" w:fill="D9D9D9" w:themeFill="background1" w:themeFillShade="D9"/>
          <w:lang w:val="en-GB"/>
        </w:rPr>
        <w:t xml:space="preserve">point 18 of </w:t>
      </w:r>
      <w:r w:rsidR="002813C5" w:rsidRPr="00360528">
        <w:rPr>
          <w:sz w:val="22"/>
          <w:szCs w:val="22"/>
          <w:shd w:val="clear" w:color="auto" w:fill="D9D9D9" w:themeFill="background1" w:themeFillShade="D9"/>
          <w:lang w:val="en-GB"/>
        </w:rPr>
        <w:t xml:space="preserve">Annex II of </w:t>
      </w:r>
      <w:r w:rsidR="00D902F5" w:rsidRPr="00360528">
        <w:rPr>
          <w:sz w:val="22"/>
          <w:szCs w:val="22"/>
          <w:shd w:val="clear" w:color="auto" w:fill="D9D9D9" w:themeFill="background1" w:themeFillShade="D9"/>
          <w:lang w:val="en-GB"/>
        </w:rPr>
        <w:t>the Financing Agreement between the European Commission and the partner country</w:t>
      </w:r>
      <w:r w:rsidR="00AB4855" w:rsidRPr="00722564">
        <w:rPr>
          <w:rStyle w:val="Refernciadenotaapeudepgina"/>
          <w:sz w:val="22"/>
          <w:szCs w:val="22"/>
          <w:highlight w:val="lightGray"/>
        </w:rPr>
        <w:footnoteReference w:id="1"/>
      </w:r>
      <w:r w:rsidR="00AB4855" w:rsidRPr="000A7484">
        <w:rPr>
          <w:sz w:val="22"/>
          <w:szCs w:val="22"/>
        </w:rPr>
        <w:t>]</w:t>
      </w:r>
      <w:r w:rsidR="00AB4855" w:rsidRPr="000821BF">
        <w:rPr>
          <w:sz w:val="22"/>
          <w:szCs w:val="22"/>
        </w:rPr>
        <w:t xml:space="preserve"> </w:t>
      </w:r>
      <w:r w:rsidR="00AB4855" w:rsidRPr="000A7484">
        <w:rPr>
          <w:sz w:val="22"/>
          <w:szCs w:val="22"/>
        </w:rPr>
        <w:t>[</w:t>
      </w:r>
      <w:r w:rsidR="00AB4855" w:rsidRPr="000A7484">
        <w:rPr>
          <w:sz w:val="22"/>
          <w:szCs w:val="22"/>
          <w:highlight w:val="lightGray"/>
        </w:rPr>
        <w:t>point 18 of Annex I of the Regulation 2018/1046</w:t>
      </w:r>
      <w:r w:rsidR="00AB4855" w:rsidRPr="000A7484">
        <w:rPr>
          <w:rStyle w:val="Refernciadenotaapeudepgina"/>
          <w:sz w:val="22"/>
          <w:szCs w:val="22"/>
          <w:highlight w:val="lightGray"/>
        </w:rPr>
        <w:footnoteReference w:id="2"/>
      </w:r>
      <w:r w:rsidR="00360528">
        <w:rPr>
          <w:sz w:val="22"/>
          <w:szCs w:val="22"/>
        </w:rPr>
        <w:t>]</w:t>
      </w:r>
      <w:r w:rsidR="00D902F5">
        <w:rPr>
          <w:sz w:val="22"/>
          <w:szCs w:val="22"/>
          <w:lang w:val="en-GB"/>
        </w:rPr>
        <w:t>.</w:t>
      </w:r>
      <w:r w:rsidRPr="00B33EE6">
        <w:rPr>
          <w:sz w:val="22"/>
          <w:szCs w:val="22"/>
          <w:lang w:val="en-GB"/>
        </w:rPr>
        <w:t xml:space="preserve"> </w:t>
      </w:r>
    </w:p>
    <w:p w14:paraId="7275ED88" w14:textId="6CE82DBB"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w:t>
      </w:r>
      <w:hyperlink r:id="rId11" w:history="1">
        <w:r w:rsidR="00D902F5" w:rsidRPr="0097738F">
          <w:rPr>
            <w:rStyle w:val="Enlla"/>
            <w:sz w:val="22"/>
            <w:szCs w:val="22"/>
            <w:lang w:val="en-GB"/>
          </w:rPr>
          <w:t>www.sanctionsmap.eu</w:t>
        </w:r>
      </w:hyperlink>
      <w:r w:rsidR="00D902F5">
        <w:rPr>
          <w:sz w:val="22"/>
          <w:szCs w:val="22"/>
          <w:lang w:val="en-GB"/>
        </w:rPr>
        <w:t xml:space="preserve">)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3</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Sub-contracting</w:t>
      </w:r>
    </w:p>
    <w:p w14:paraId="2C010702" w14:textId="2690E391" w:rsidR="00E9047D" w:rsidRDefault="006D6080" w:rsidP="00584BF4">
      <w:pPr>
        <w:ind w:left="709" w:hanging="349"/>
        <w:outlineLvl w:val="0"/>
        <w:rPr>
          <w:rStyle w:val="mfasi"/>
          <w:i w:val="0"/>
          <w:sz w:val="22"/>
          <w:szCs w:val="22"/>
          <w:lang w:val="en-GB"/>
        </w:rPr>
      </w:pPr>
      <w:r w:rsidRPr="00B33EE6">
        <w:rPr>
          <w:rStyle w:val="mfasi"/>
          <w:i w:val="0"/>
          <w:sz w:val="22"/>
          <w:szCs w:val="22"/>
          <w:lang w:val="en-GB"/>
        </w:rPr>
        <w:t>Subcontracting is allowed</w:t>
      </w:r>
      <w:r w:rsidR="000C1101" w:rsidRPr="00B33EE6">
        <w:rPr>
          <w:rStyle w:val="mfasi"/>
          <w:i w:val="0"/>
          <w:sz w:val="22"/>
          <w:szCs w:val="22"/>
          <w:lang w:val="en-GB"/>
        </w:rPr>
        <w:t>.</w:t>
      </w:r>
    </w:p>
    <w:p w14:paraId="3E76976B" w14:textId="40218365" w:rsidR="006F5FD0" w:rsidRPr="00B33EE6" w:rsidRDefault="00381DC6">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3761DB29">
                <wp:simplePos x="0" y="0"/>
                <wp:positionH relativeFrom="column">
                  <wp:posOffset>19050</wp:posOffset>
                </wp:positionH>
                <wp:positionV relativeFrom="paragraph">
                  <wp:posOffset>26035</wp:posOffset>
                </wp:positionV>
                <wp:extent cx="5943600" cy="635"/>
                <wp:effectExtent l="0" t="0" r="0" b="0"/>
                <wp:wrapNone/>
                <wp:docPr id="133404708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68AD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Textennegreta"/>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Textennegreta"/>
          <w:sz w:val="22"/>
          <w:szCs w:val="22"/>
          <w:lang w:val="en-GB"/>
        </w:rPr>
        <w:t>1</w:t>
      </w:r>
      <w:r w:rsidR="005639EC" w:rsidRPr="00B33EE6">
        <w:rPr>
          <w:rStyle w:val="Textennegreta"/>
          <w:sz w:val="22"/>
          <w:szCs w:val="22"/>
          <w:lang w:val="en-GB"/>
        </w:rPr>
        <w:t>4</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Date </w:t>
      </w:r>
      <w:r w:rsidRPr="00B33EE6">
        <w:rPr>
          <w:rStyle w:val="mfasi"/>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Textennegreta"/>
          <w:sz w:val="22"/>
          <w:szCs w:val="22"/>
          <w:lang w:val="en-GB"/>
        </w:rPr>
        <w:lastRenderedPageBreak/>
        <w:t>15</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Implementation</w:t>
      </w:r>
      <w:r w:rsidR="006F5FD0" w:rsidRPr="00B33EE6">
        <w:rPr>
          <w:rStyle w:val="Textennegreta"/>
          <w:sz w:val="22"/>
          <w:szCs w:val="22"/>
          <w:lang w:val="en-GB"/>
        </w:rPr>
        <w:t xml:space="preserve"> period of </w:t>
      </w:r>
      <w:r w:rsidRPr="00B33EE6">
        <w:rPr>
          <w:rStyle w:val="Textennegreta"/>
          <w:sz w:val="22"/>
          <w:szCs w:val="22"/>
          <w:lang w:val="en-GB"/>
        </w:rPr>
        <w:t>the</w:t>
      </w:r>
      <w:r w:rsidR="00476D80" w:rsidRPr="00B33EE6">
        <w:rPr>
          <w:rStyle w:val="Textennegreta"/>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mfasi"/>
          <w:i w:val="0"/>
          <w:sz w:val="22"/>
          <w:szCs w:val="22"/>
          <w:lang w:val="en-GB"/>
        </w:rPr>
        <w:t xml:space="preserve">&lt; </w:t>
      </w:r>
      <w:r w:rsidRPr="00B33EE6">
        <w:rPr>
          <w:rStyle w:val="mfasi"/>
          <w:i w:val="0"/>
          <w:sz w:val="22"/>
          <w:szCs w:val="22"/>
          <w:highlight w:val="yellow"/>
          <w:lang w:val="en-GB"/>
        </w:rPr>
        <w:t xml:space="preserve">To be specified </w:t>
      </w:r>
      <w:r w:rsidRPr="00B33EE6">
        <w:rPr>
          <w:rStyle w:val="mfasi"/>
          <w:i w:val="0"/>
          <w:sz w:val="22"/>
          <w:szCs w:val="22"/>
          <w:lang w:val="en-GB"/>
        </w:rPr>
        <w:t>&gt;</w:t>
      </w:r>
    </w:p>
    <w:p w14:paraId="29CC7DD8" w14:textId="219F7914"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576A3C7D">
                <wp:simplePos x="0" y="0"/>
                <wp:positionH relativeFrom="column">
                  <wp:posOffset>0</wp:posOffset>
                </wp:positionH>
                <wp:positionV relativeFrom="paragraph">
                  <wp:posOffset>152400</wp:posOffset>
                </wp:positionV>
                <wp:extent cx="5943600" cy="635"/>
                <wp:effectExtent l="0" t="0" r="0" b="0"/>
                <wp:wrapNone/>
                <wp:docPr id="15359700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575CF"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Textennegreta"/>
          <w:sz w:val="28"/>
          <w:szCs w:val="28"/>
          <w:lang w:val="en-GB"/>
        </w:rPr>
        <w:t>SELECTION AND AWARD CRITERIA</w:t>
      </w:r>
    </w:p>
    <w:p w14:paraId="392C793B" w14:textId="2D2CD701" w:rsidR="006F5FD0" w:rsidRDefault="005639EC" w:rsidP="00584BF4">
      <w:pPr>
        <w:ind w:left="709" w:hanging="349"/>
        <w:outlineLvl w:val="0"/>
        <w:rPr>
          <w:rStyle w:val="Textennegreta"/>
          <w:sz w:val="22"/>
          <w:szCs w:val="22"/>
          <w:lang w:val="en-GB"/>
        </w:rPr>
      </w:pPr>
      <w:r w:rsidRPr="00B33EE6">
        <w:rPr>
          <w:rStyle w:val="Textennegreta"/>
          <w:sz w:val="22"/>
          <w:szCs w:val="22"/>
          <w:lang w:val="en-GB"/>
        </w:rPr>
        <w:t>16</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Selection criteria</w:t>
      </w:r>
    </w:p>
    <w:p w14:paraId="7CAD1126" w14:textId="77777777" w:rsidR="00831982" w:rsidRPr="00D902F5" w:rsidRDefault="00831982" w:rsidP="00831982">
      <w:pPr>
        <w:widowControl/>
        <w:spacing w:before="240" w:after="0"/>
        <w:ind w:left="426"/>
        <w:jc w:val="both"/>
        <w:rPr>
          <w:sz w:val="22"/>
          <w:szCs w:val="22"/>
          <w:u w:val="single"/>
          <w:lang w:val="en-GB"/>
        </w:rPr>
      </w:pPr>
      <w:r w:rsidRPr="00D902F5">
        <w:rPr>
          <w:sz w:val="22"/>
          <w:szCs w:val="22"/>
          <w:u w:val="single"/>
          <w:lang w:val="en-GB"/>
        </w:rPr>
        <w:t>Capacity-providing entities</w:t>
      </w:r>
    </w:p>
    <w:p w14:paraId="1677E155" w14:textId="194E5C1A"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w:t>
      </w:r>
      <w:r w:rsidR="00D902F5">
        <w:rPr>
          <w:sz w:val="22"/>
          <w:szCs w:val="22"/>
          <w:lang w:val="en-GB"/>
        </w:rPr>
        <w:t>,</w:t>
      </w:r>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7A33A8BE" w14:textId="0AA38CE5"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w:t>
      </w:r>
      <w:proofErr w:type="gramStart"/>
      <w:r w:rsidR="00D434A7" w:rsidRPr="00D434A7">
        <w:rPr>
          <w:sz w:val="22"/>
          <w:szCs w:val="22"/>
          <w:lang w:val="en-GB"/>
        </w:rPr>
        <w:t>in order to</w:t>
      </w:r>
      <w:proofErr w:type="gramEnd"/>
      <w:r w:rsidR="00D434A7" w:rsidRPr="00D434A7">
        <w:rPr>
          <w:sz w:val="22"/>
          <w:szCs w:val="22"/>
          <w:lang w:val="en-GB"/>
        </w:rPr>
        <w:t xml:space="preserve"> ensure an adequate level of competition, the contracting authority may indicate that evidence of relevant </w:t>
      </w:r>
      <w:r w:rsidR="00F76A8F">
        <w:rPr>
          <w:sz w:val="22"/>
          <w:szCs w:val="22"/>
          <w:lang w:val="en-GB"/>
        </w:rPr>
        <w:t>supplies</w:t>
      </w:r>
      <w:r w:rsidR="00771F85">
        <w:rPr>
          <w:sz w:val="22"/>
          <w:szCs w:val="22"/>
          <w:lang w:val="en-GB"/>
        </w:rPr>
        <w:t xml:space="preserve"> </w:t>
      </w:r>
      <w:r w:rsidR="00F76A8F">
        <w:rPr>
          <w:sz w:val="22"/>
          <w:szCs w:val="22"/>
          <w:lang w:val="en-GB"/>
        </w:rPr>
        <w:t>deliver</w:t>
      </w:r>
      <w:r w:rsidR="00D434A7" w:rsidRPr="00D434A7">
        <w:rPr>
          <w:sz w:val="22"/>
          <w:szCs w:val="22"/>
          <w:lang w:val="en-GB"/>
        </w:rPr>
        <w:t xml:space="preserve">ed more than 3 years before will be taken into account. </w:t>
      </w:r>
      <w:r w:rsidRPr="00B33EE6">
        <w:rPr>
          <w:sz w:val="22"/>
          <w:szCs w:val="22"/>
          <w:highlight w:val="yellow"/>
          <w:lang w:val="en-GB"/>
        </w:rPr>
        <w:t xml:space="preserve">Consideration </w:t>
      </w:r>
      <w:proofErr w:type="gramStart"/>
      <w:r w:rsidRPr="00B33EE6">
        <w:rPr>
          <w:sz w:val="22"/>
          <w:szCs w:val="22"/>
          <w:highlight w:val="yellow"/>
          <w:lang w:val="en-GB"/>
        </w:rPr>
        <w:t>has to</w:t>
      </w:r>
      <w:proofErr w:type="gramEnd"/>
      <w:r w:rsidRPr="00B33EE6">
        <w:rPr>
          <w:sz w:val="22"/>
          <w:szCs w:val="22"/>
          <w:highlight w:val="yellow"/>
          <w:lang w:val="en-GB"/>
        </w:rPr>
        <w:t xml:space="preserve">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w:t>
      </w:r>
      <w:proofErr w:type="gramStart"/>
      <w:r w:rsidR="006751D2" w:rsidRPr="00B33EE6">
        <w:rPr>
          <w:bCs/>
          <w:sz w:val="22"/>
          <w:szCs w:val="22"/>
          <w:highlight w:val="yellow"/>
          <w:lang w:val="en-GB"/>
        </w:rPr>
        <w:t>Therefore</w:t>
      </w:r>
      <w:proofErr w:type="gramEnd"/>
      <w:r w:rsidR="006751D2" w:rsidRPr="00B33EE6">
        <w:rPr>
          <w:bCs/>
          <w:sz w:val="22"/>
          <w:szCs w:val="22"/>
          <w:highlight w:val="yellow"/>
          <w:lang w:val="en-GB"/>
        </w:rPr>
        <w:t xml:space="preserve"> particular attention should be paid when setting specific selection criteria for assessing the technical and professional capacity of natural persons. </w:t>
      </w:r>
      <w:proofErr w:type="gramStart"/>
      <w:r w:rsidR="006751D2" w:rsidRPr="00B33EE6">
        <w:rPr>
          <w:bCs/>
          <w:sz w:val="22"/>
          <w:szCs w:val="22"/>
          <w:highlight w:val="yellow"/>
          <w:lang w:val="en-GB"/>
        </w:rPr>
        <w:t>As a general rule</w:t>
      </w:r>
      <w:proofErr w:type="gramEnd"/>
      <w:r w:rsidR="006751D2" w:rsidRPr="00B33EE6">
        <w:rPr>
          <w:bCs/>
          <w:sz w:val="22"/>
          <w:szCs w:val="22"/>
          <w:highlight w:val="yellow"/>
          <w:lang w:val="en-GB"/>
        </w:rPr>
        <w:t>, selection criteria cannot be re-used as award criteria.</w:t>
      </w:r>
      <w:r w:rsidR="00A46ED3" w:rsidRPr="00B33EE6">
        <w:rPr>
          <w:bCs/>
          <w:sz w:val="22"/>
          <w:szCs w:val="22"/>
          <w:highlight w:val="yellow"/>
          <w:lang w:val="en-GB"/>
        </w:rPr>
        <w:t xml:space="preserve"> </w:t>
      </w:r>
    </w:p>
    <w:p w14:paraId="2ADD78D6" w14:textId="0F995CB0"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F76A8F">
        <w:rPr>
          <w:bCs/>
          <w:sz w:val="22"/>
          <w:szCs w:val="22"/>
          <w:highlight w:val="yellow"/>
          <w:lang w:val="en-GB"/>
        </w:rPr>
        <w:t>project</w:t>
      </w:r>
      <w:r w:rsidRPr="00B33EE6">
        <w:rPr>
          <w:bCs/>
          <w:sz w:val="22"/>
          <w:szCs w:val="22"/>
          <w:highlight w:val="yellow"/>
          <w:lang w:val="en-GB"/>
        </w:rPr>
        <w:t xml:space="preserve">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67EF866" w14:textId="77777777" w:rsidR="009B5369" w:rsidRPr="009B5369" w:rsidRDefault="009B5369" w:rsidP="009B5369">
      <w:pPr>
        <w:pStyle w:val="Blockquote"/>
        <w:ind w:left="357" w:right="357"/>
        <w:jc w:val="both"/>
        <w:rPr>
          <w:sz w:val="22"/>
          <w:szCs w:val="22"/>
        </w:rPr>
      </w:pPr>
      <w:r w:rsidRPr="009B5369">
        <w:rPr>
          <w:sz w:val="22"/>
          <w:szCs w:val="22"/>
        </w:rPr>
        <w:lastRenderedPageBreak/>
        <w:t>[</w:t>
      </w:r>
      <w:r w:rsidRPr="008660AD">
        <w:rPr>
          <w:sz w:val="22"/>
          <w:szCs w:val="22"/>
          <w:highlight w:val="yellow"/>
        </w:rPr>
        <w:t>In case of either a contract without lots, or a contract divided into lots whereby no different minimum levels of capacity are set for each lot:</w:t>
      </w:r>
      <w:r w:rsidRPr="009B5369">
        <w:rPr>
          <w:sz w:val="22"/>
          <w:szCs w:val="22"/>
        </w:rPr>
        <w:t xml:space="preserve"> </w:t>
      </w:r>
    </w:p>
    <w:p w14:paraId="300C56C5" w14:textId="77777777" w:rsidR="009B5369" w:rsidRPr="009B5369" w:rsidRDefault="009B5369" w:rsidP="009B5369">
      <w:pPr>
        <w:pStyle w:val="Blockquote"/>
        <w:ind w:left="357" w:right="357"/>
        <w:jc w:val="both"/>
        <w:rPr>
          <w:sz w:val="22"/>
          <w:szCs w:val="22"/>
        </w:rPr>
      </w:pPr>
      <w:r w:rsidRPr="008660AD">
        <w:rPr>
          <w:sz w:val="22"/>
          <w:szCs w:val="22"/>
          <w:highlight w:val="lightGray"/>
        </w:rPr>
        <w:t>The selection criteria for each tenderer are as follows:</w:t>
      </w:r>
      <w:r w:rsidRPr="009B5369">
        <w:rPr>
          <w:sz w:val="22"/>
          <w:szCs w:val="22"/>
        </w:rPr>
        <w:t>]</w:t>
      </w:r>
    </w:p>
    <w:p w14:paraId="64699BC1"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contracts divided into lots whereby different minimum levels of capacity are set for each lot:</w:t>
      </w:r>
      <w:r w:rsidRPr="009B5369">
        <w:rPr>
          <w:sz w:val="22"/>
          <w:szCs w:val="22"/>
        </w:rPr>
        <w:t xml:space="preserve"> </w:t>
      </w:r>
      <w:r w:rsidRPr="008660AD">
        <w:rPr>
          <w:sz w:val="22"/>
          <w:szCs w:val="22"/>
          <w:highlight w:val="lightGray"/>
        </w:rPr>
        <w:t>Lot n° …</w:t>
      </w:r>
      <w:r w:rsidRPr="009B5369">
        <w:rPr>
          <w:sz w:val="22"/>
          <w:szCs w:val="22"/>
        </w:rPr>
        <w:t xml:space="preserve"> </w:t>
      </w:r>
      <w:r w:rsidRPr="008660AD">
        <w:rPr>
          <w:sz w:val="22"/>
          <w:szCs w:val="22"/>
          <w:highlight w:val="yellow"/>
        </w:rPr>
        <w:t>(for example Lot 1)</w:t>
      </w:r>
      <w:r w:rsidRPr="009B5369">
        <w:rPr>
          <w:sz w:val="22"/>
          <w:szCs w:val="22"/>
        </w:rPr>
        <w:t xml:space="preserve"> </w:t>
      </w:r>
    </w:p>
    <w:p w14:paraId="0ABA6FDD" w14:textId="4289334C" w:rsidR="009B5369" w:rsidRPr="008660AD" w:rsidRDefault="009B5369" w:rsidP="008660AD">
      <w:pPr>
        <w:pStyle w:val="Blockquote"/>
        <w:ind w:left="357" w:right="357"/>
        <w:jc w:val="both"/>
        <w:rPr>
          <w:sz w:val="22"/>
          <w:szCs w:val="22"/>
        </w:rPr>
      </w:pPr>
      <w:r w:rsidRPr="008660AD">
        <w:rPr>
          <w:sz w:val="22"/>
          <w:szCs w:val="22"/>
          <w:highlight w:val="lightGray"/>
        </w:rPr>
        <w:t>The selection criteria for tenderers to lot n° …</w:t>
      </w:r>
      <w:r w:rsidRPr="009B5369">
        <w:rPr>
          <w:sz w:val="22"/>
          <w:szCs w:val="22"/>
        </w:rPr>
        <w:t xml:space="preserve"> (</w:t>
      </w:r>
      <w:r w:rsidRPr="008660AD">
        <w:rPr>
          <w:sz w:val="22"/>
          <w:szCs w:val="22"/>
          <w:highlight w:val="yellow"/>
        </w:rPr>
        <w:t>for example lot 1</w:t>
      </w:r>
      <w:r w:rsidRPr="009B5369">
        <w:rPr>
          <w:sz w:val="22"/>
          <w:szCs w:val="22"/>
        </w:rPr>
        <w:t xml:space="preserve">) </w:t>
      </w:r>
      <w:r w:rsidRPr="008660AD">
        <w:rPr>
          <w:sz w:val="22"/>
          <w:szCs w:val="22"/>
          <w:highlight w:val="lightGray"/>
        </w:rPr>
        <w:t>are as follows:]</w:t>
      </w:r>
    </w:p>
    <w:p w14:paraId="712764E9" w14:textId="77777777"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 xml:space="preserve">uthority </w:t>
      </w:r>
      <w:proofErr w:type="gramStart"/>
      <w:r w:rsidRPr="00B33EE6">
        <w:rPr>
          <w:sz w:val="22"/>
          <w:szCs w:val="22"/>
          <w:lang w:val="en-GB"/>
        </w:rPr>
        <w:t>in the event that</w:t>
      </w:r>
      <w:proofErr w:type="gramEnd"/>
      <w:r w:rsidRPr="00B33EE6">
        <w:rPr>
          <w:sz w:val="22"/>
          <w:szCs w:val="22"/>
          <w:lang w:val="en-GB"/>
        </w:rPr>
        <w:t xml:space="preserve">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77777777" w:rsidR="006F5FD0" w:rsidRPr="00B33EE6" w:rsidRDefault="006F5FD0"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must </w:t>
      </w:r>
      <w:proofErr w:type="gramStart"/>
      <w:r w:rsidRPr="00B33EE6">
        <w:rPr>
          <w:sz w:val="22"/>
          <w:szCs w:val="22"/>
          <w:lang w:val="en-GB"/>
        </w:rPr>
        <w:t>exceed  the</w:t>
      </w:r>
      <w:proofErr w:type="gramEnd"/>
      <w:r w:rsidRPr="00B33EE6">
        <w:rPr>
          <w:sz w:val="22"/>
          <w:szCs w:val="22"/>
          <w:lang w:val="en-GB"/>
        </w:rPr>
        <w:t xml:space="preserve"> annualised maximum budget of the contract </w:t>
      </w:r>
      <w:r w:rsidR="00E147D3" w:rsidRPr="00B33EE6">
        <w:rPr>
          <w:sz w:val="22"/>
          <w:szCs w:val="22"/>
          <w:lang w:val="en-GB"/>
        </w:rPr>
        <w:t>i.e.</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6C324E8C" w14:textId="77777777"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w:t>
      </w:r>
      <w:proofErr w:type="gramStart"/>
      <w:r w:rsidRPr="00B33EE6">
        <w:rPr>
          <w:sz w:val="22"/>
          <w:szCs w:val="22"/>
          <w:lang w:val="en-GB"/>
        </w:rPr>
        <w:t>exceed  the</w:t>
      </w:r>
      <w:proofErr w:type="gramEnd"/>
      <w:r w:rsidRPr="00B33EE6">
        <w:rPr>
          <w:sz w:val="22"/>
          <w:szCs w:val="22"/>
          <w:lang w:val="en-GB"/>
        </w:rPr>
        <w:t xml:space="preserv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lastRenderedPageBreak/>
        <w:t xml:space="preserve">the financial situation of the </w:t>
      </w:r>
      <w:r w:rsidR="005639EC" w:rsidRPr="00B33EE6">
        <w:rPr>
          <w:sz w:val="22"/>
          <w:szCs w:val="22"/>
          <w:lang w:val="en-GB"/>
        </w:rPr>
        <w:t>tenderer</w:t>
      </w:r>
      <w:r w:rsidRPr="00B33EE6">
        <w:rPr>
          <w:sz w:val="22"/>
          <w:szCs w:val="22"/>
          <w:lang w:val="en-GB"/>
        </w:rPr>
        <w:t xml:space="preserve"> should not be in deficit, </w:t>
      </w:r>
      <w:proofErr w:type="gramStart"/>
      <w:r w:rsidRPr="00B33EE6">
        <w:rPr>
          <w:sz w:val="22"/>
          <w:szCs w:val="22"/>
          <w:lang w:val="en-GB"/>
        </w:rPr>
        <w:t>taken into account</w:t>
      </w:r>
      <w:proofErr w:type="gramEnd"/>
      <w:r w:rsidRPr="00B33EE6">
        <w:rPr>
          <w:sz w:val="22"/>
          <w:szCs w:val="22"/>
          <w:lang w:val="en-GB"/>
        </w:rPr>
        <w:t xml:space="preserve">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2313E21" w:rsidR="006F5FD0" w:rsidRPr="00B33EE6" w:rsidRDefault="006F5FD0" w:rsidP="008660AD">
      <w:pPr>
        <w:pStyle w:val="Blockquote"/>
        <w:shd w:val="clear" w:color="auto" w:fill="FFFF00"/>
        <w:jc w:val="both"/>
        <w:rPr>
          <w:sz w:val="22"/>
          <w:szCs w:val="22"/>
          <w:lang w:val="en-GB"/>
        </w:rPr>
      </w:pPr>
      <w:r w:rsidRPr="00B33EE6">
        <w:rPr>
          <w:sz w:val="22"/>
          <w:szCs w:val="22"/>
          <w:lang w:val="en-GB"/>
        </w:rPr>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r w:rsidR="00E81C0B">
        <w:rPr>
          <w:sz w:val="22"/>
          <w:szCs w:val="22"/>
          <w:lang w:val="en-GB"/>
        </w:rPr>
        <w:t xml:space="preserve"> </w:t>
      </w:r>
      <w:r w:rsidRPr="00B33EE6">
        <w:rPr>
          <w:sz w:val="22"/>
          <w:szCs w:val="22"/>
          <w:lang w:val="en-GB"/>
        </w:rPr>
        <w:t>has sufficient ongoing staff resources and expertise to be able to handle the proposed contract</w:t>
      </w:r>
      <w:r w:rsidR="00E81C0B">
        <w:rPr>
          <w:sz w:val="22"/>
          <w:szCs w:val="22"/>
          <w:lang w:val="en-GB"/>
        </w:rPr>
        <w:t>.</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w:t>
      </w:r>
      <w:proofErr w:type="gramStart"/>
      <w:r w:rsidRPr="00B33EE6">
        <w:rPr>
          <w:sz w:val="22"/>
          <w:szCs w:val="22"/>
          <w:lang w:val="en-GB"/>
        </w:rPr>
        <w:t>&gt;;</w:t>
      </w:r>
      <w:proofErr w:type="gramEnd"/>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w:t>
      </w:r>
      <w:proofErr w:type="spellStart"/>
      <w:r w:rsidRPr="003670BA">
        <w:rPr>
          <w:sz w:val="22"/>
          <w:szCs w:val="22"/>
          <w:highlight w:val="yellow"/>
          <w:lang w:val="es-ES_tradnl"/>
        </w:rPr>
        <w:t>reference</w:t>
      </w:r>
      <w:proofErr w:type="spellEnd"/>
      <w:r w:rsidRPr="003670BA">
        <w:rPr>
          <w:sz w:val="22"/>
          <w:szCs w:val="22"/>
          <w:highlight w:val="yellow"/>
          <w:lang w:val="es-ES_tradnl"/>
        </w:rPr>
        <w:t xml:space="preserve"> </w:t>
      </w:r>
      <w:proofErr w:type="spellStart"/>
      <w:r w:rsidRPr="003670BA">
        <w:rPr>
          <w:sz w:val="22"/>
          <w:szCs w:val="22"/>
          <w:highlight w:val="yellow"/>
          <w:lang w:val="es-ES_tradnl"/>
        </w:rPr>
        <w:t>criterion</w:t>
      </w:r>
      <w:proofErr w:type="spellEnd"/>
      <w:r w:rsidRPr="003670BA">
        <w:rPr>
          <w:sz w:val="22"/>
          <w:szCs w:val="22"/>
          <w:highlight w:val="yellow"/>
          <w:lang w:val="es-ES_tradnl"/>
        </w:rPr>
        <w:t>&gt;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w:t>
      </w:r>
      <w:proofErr w:type="spellStart"/>
      <w:r w:rsidRPr="003670BA">
        <w:rPr>
          <w:sz w:val="22"/>
          <w:szCs w:val="22"/>
          <w:highlight w:val="yellow"/>
          <w:lang w:val="es-ES_tradnl"/>
        </w:rPr>
        <w:t>reference</w:t>
      </w:r>
      <w:proofErr w:type="spellEnd"/>
      <w:r w:rsidRPr="003670BA">
        <w:rPr>
          <w:sz w:val="22"/>
          <w:szCs w:val="22"/>
          <w:highlight w:val="yellow"/>
          <w:lang w:val="es-ES_tradnl"/>
        </w:rPr>
        <w:t xml:space="preserve"> </w:t>
      </w:r>
      <w:proofErr w:type="spellStart"/>
      <w:r w:rsidRPr="003670BA">
        <w:rPr>
          <w:sz w:val="22"/>
          <w:szCs w:val="22"/>
          <w:highlight w:val="yellow"/>
          <w:lang w:val="es-ES_tradnl"/>
        </w:rPr>
        <w:t>criterion</w:t>
      </w:r>
      <w:proofErr w:type="spellEnd"/>
      <w:r w:rsidRPr="003670BA">
        <w:rPr>
          <w:sz w:val="22"/>
          <w:szCs w:val="22"/>
          <w:highlight w:val="yellow"/>
          <w:lang w:val="es-ES_tradnl"/>
        </w:rPr>
        <w:t>&gt;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w:t>
      </w:r>
      <w:proofErr w:type="gramStart"/>
      <w:r w:rsidRPr="00B33EE6">
        <w:rPr>
          <w:sz w:val="22"/>
          <w:szCs w:val="22"/>
          <w:lang w:val="en-GB"/>
        </w:rPr>
        <w:t>&gt;;</w:t>
      </w:r>
      <w:proofErr w:type="gramEnd"/>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lastRenderedPageBreak/>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t>
      </w:r>
      <w:proofErr w:type="gramStart"/>
      <w:r w:rsidRPr="00B33EE6">
        <w:rPr>
          <w:sz w:val="22"/>
          <w:szCs w:val="22"/>
          <w:lang w:val="en-GB"/>
        </w:rPr>
        <w:t>whether or not</w:t>
      </w:r>
      <w:proofErr w:type="gramEnd"/>
      <w:r w:rsidRPr="00B33EE6">
        <w:rPr>
          <w:sz w:val="22"/>
          <w:szCs w:val="22"/>
          <w:lang w:val="en-GB"/>
        </w:rPr>
        <w:t xml:space="preserve">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43523130"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E81C0B">
        <w:rPr>
          <w:sz w:val="22"/>
          <w:szCs w:val="22"/>
          <w:lang w:val="en-GB"/>
        </w:rPr>
        <w:t>delivered supplies</w:t>
      </w:r>
      <w:r w:rsidR="001661F7" w:rsidRPr="00B33EE6">
        <w:rPr>
          <w:sz w:val="22"/>
          <w:szCs w:val="22"/>
          <w:lang w:val="en-GB"/>
        </w:rPr>
        <w:t xml:space="preserve">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proofErr w:type="gramStart"/>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proofErr w:type="gramEnd"/>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67053663" w14:textId="79E87C2A"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w:t>
      </w:r>
      <w:r w:rsidR="00257287">
        <w:rPr>
          <w:sz w:val="22"/>
          <w:szCs w:val="22"/>
          <w:lang w:val="en-GB"/>
        </w:rPr>
        <w:t>[</w:t>
      </w:r>
      <w:r w:rsidRPr="00257287">
        <w:rPr>
          <w:sz w:val="22"/>
          <w:szCs w:val="22"/>
          <w:highlight w:val="lightGray"/>
          <w:lang w:val="en-GB"/>
        </w:rPr>
        <w:t>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r w:rsidR="00257287">
        <w:rPr>
          <w:sz w:val="22"/>
          <w:szCs w:val="22"/>
          <w:lang w:val="en-GB"/>
        </w:rPr>
        <w:t>]</w:t>
      </w:r>
    </w:p>
    <w:p w14:paraId="0F3A8DD3" w14:textId="77777777" w:rsidR="00235A71" w:rsidRPr="00B33EE6" w:rsidRDefault="00235A71" w:rsidP="008660AD">
      <w:pPr>
        <w:pStyle w:val="Blockquote"/>
        <w:tabs>
          <w:tab w:val="left" w:pos="284"/>
        </w:tabs>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w:t>
      </w:r>
      <w:proofErr w:type="spellStart"/>
      <w:r w:rsidRPr="00BE5F29">
        <w:rPr>
          <w:sz w:val="22"/>
          <w:szCs w:val="22"/>
          <w:highlight w:val="yellow"/>
          <w:lang w:val="es-ES_tradnl"/>
        </w:rPr>
        <w:t>reference</w:t>
      </w:r>
      <w:proofErr w:type="spellEnd"/>
      <w:r w:rsidRPr="00BE5F29">
        <w:rPr>
          <w:sz w:val="22"/>
          <w:szCs w:val="22"/>
          <w:highlight w:val="yellow"/>
          <w:lang w:val="es-ES_tradnl"/>
        </w:rPr>
        <w:t xml:space="preserve"> </w:t>
      </w:r>
      <w:proofErr w:type="spellStart"/>
      <w:r w:rsidRPr="00BE5F29">
        <w:rPr>
          <w:sz w:val="22"/>
          <w:szCs w:val="22"/>
          <w:highlight w:val="yellow"/>
          <w:lang w:val="es-ES_tradnl"/>
        </w:rPr>
        <w:t>criterion</w:t>
      </w:r>
      <w:proofErr w:type="spellEnd"/>
      <w:r w:rsidRPr="00BE5F29">
        <w:rPr>
          <w:sz w:val="22"/>
          <w:szCs w:val="22"/>
          <w:highlight w:val="yellow"/>
          <w:lang w:val="es-ES_tradnl"/>
        </w:rPr>
        <w:t>&gt;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lastRenderedPageBreak/>
        <w:t>2-</w:t>
      </w:r>
      <w:r w:rsidRPr="00B33EE6">
        <w:rPr>
          <w:sz w:val="22"/>
          <w:szCs w:val="22"/>
          <w:highlight w:val="yellow"/>
          <w:lang w:val="en-GB"/>
        </w:rPr>
        <w:t>&lt;reference criterion&gt;</w:t>
      </w:r>
    </w:p>
    <w:p w14:paraId="75E4482E" w14:textId="2383E155" w:rsidR="00235A71"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404769A2"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different minimum levels of capacity are set for each lot:</w:t>
      </w:r>
      <w:r w:rsidRPr="00781603">
        <w:rPr>
          <w:sz w:val="22"/>
          <w:szCs w:val="22"/>
          <w:lang w:val="en-GB"/>
        </w:rPr>
        <w:t xml:space="preserve"> </w:t>
      </w:r>
      <w:r w:rsidRPr="00781603">
        <w:rPr>
          <w:sz w:val="22"/>
          <w:szCs w:val="22"/>
          <w:highlight w:val="lightGray"/>
          <w:lang w:val="en-GB"/>
        </w:rPr>
        <w:t xml:space="preserve">Lot n° … </w:t>
      </w:r>
      <w:r w:rsidRPr="00781603">
        <w:rPr>
          <w:sz w:val="22"/>
          <w:szCs w:val="22"/>
          <w:highlight w:val="yellow"/>
          <w:lang w:val="en-GB"/>
        </w:rPr>
        <w:t>(</w:t>
      </w:r>
      <w:r w:rsidRPr="00781603">
        <w:rPr>
          <w:sz w:val="22"/>
          <w:szCs w:val="22"/>
          <w:highlight w:val="yellow"/>
          <w:u w:val="single"/>
          <w:lang w:val="en-GB"/>
        </w:rPr>
        <w:t>for example Lot 2</w:t>
      </w:r>
      <w:r w:rsidRPr="00781603">
        <w:rPr>
          <w:sz w:val="22"/>
          <w:szCs w:val="22"/>
          <w:highlight w:val="yellow"/>
          <w:lang w:val="en-GB"/>
        </w:rPr>
        <w:t xml:space="preserve">) </w:t>
      </w:r>
    </w:p>
    <w:p w14:paraId="0EAC35E2" w14:textId="77777777" w:rsidR="00781603" w:rsidRPr="00781603" w:rsidRDefault="00781603" w:rsidP="008660AD">
      <w:pPr>
        <w:ind w:right="1"/>
        <w:jc w:val="both"/>
        <w:rPr>
          <w:sz w:val="22"/>
          <w:szCs w:val="22"/>
          <w:highlight w:val="yellow"/>
        </w:rPr>
      </w:pPr>
      <w:r w:rsidRPr="00781603">
        <w:rPr>
          <w:sz w:val="22"/>
          <w:szCs w:val="22"/>
          <w:highlight w:val="lightGray"/>
        </w:rPr>
        <w:t>The selection criteria for tenderers to lot n° … (</w:t>
      </w:r>
      <w:r w:rsidRPr="00781603">
        <w:rPr>
          <w:sz w:val="22"/>
          <w:szCs w:val="22"/>
          <w:highlight w:val="yellow"/>
        </w:rPr>
        <w:t xml:space="preserve">for example lot 2) </w:t>
      </w:r>
      <w:r w:rsidRPr="00781603">
        <w:rPr>
          <w:sz w:val="22"/>
          <w:szCs w:val="22"/>
          <w:highlight w:val="lightGray"/>
        </w:rPr>
        <w:t>are as follows:]</w:t>
      </w:r>
      <w:r w:rsidRPr="00781603">
        <w:rPr>
          <w:sz w:val="22"/>
          <w:szCs w:val="22"/>
        </w:rPr>
        <w:t xml:space="preserve"> </w:t>
      </w:r>
      <w:r w:rsidRPr="00781603">
        <w:rPr>
          <w:sz w:val="22"/>
          <w:szCs w:val="22"/>
          <w:highlight w:val="yellow"/>
        </w:rPr>
        <w:t>Idem as above</w:t>
      </w:r>
    </w:p>
    <w:p w14:paraId="7F9BE442" w14:textId="77777777" w:rsidR="00781603" w:rsidRPr="00781603" w:rsidRDefault="00781603" w:rsidP="008660AD">
      <w:pPr>
        <w:ind w:right="1"/>
        <w:rPr>
          <w:sz w:val="22"/>
          <w:szCs w:val="22"/>
        </w:rPr>
      </w:pPr>
      <w:r w:rsidRPr="00781603">
        <w:rPr>
          <w:b/>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proofErr w:type="gramStart"/>
      <w:r w:rsidRPr="00781603">
        <w:rPr>
          <w:sz w:val="22"/>
          <w:szCs w:val="22"/>
          <w:highlight w:val="yellow"/>
        </w:rPr>
        <w:t>)</w:t>
      </w:r>
      <w:r w:rsidRPr="00781603">
        <w:rPr>
          <w:sz w:val="22"/>
          <w:szCs w:val="22"/>
        </w:rPr>
        <w:t>:…</w:t>
      </w:r>
      <w:proofErr w:type="gramEnd"/>
      <w:r w:rsidRPr="00781603">
        <w:rPr>
          <w:sz w:val="22"/>
          <w:szCs w:val="22"/>
        </w:rPr>
        <w:t>.</w:t>
      </w:r>
    </w:p>
    <w:p w14:paraId="1A90AAEB"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3AF9C56D"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B17A816"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 xml:space="preserve">[In case of contracts divided into lots whereby additional levels of capacity are added for the case several lots are awarded to the same tenderer: for </w:t>
      </w:r>
      <w:proofErr w:type="gramStart"/>
      <w:r w:rsidRPr="00781603">
        <w:rPr>
          <w:sz w:val="22"/>
          <w:szCs w:val="22"/>
          <w:highlight w:val="yellow"/>
          <w:lang w:val="en-GB"/>
        </w:rPr>
        <w:t>example</w:t>
      </w:r>
      <w:proofErr w:type="gramEnd"/>
      <w:r w:rsidRPr="00781603">
        <w:rPr>
          <w:sz w:val="22"/>
          <w:szCs w:val="22"/>
          <w:lang w:val="en-GB"/>
        </w:rPr>
        <w:t xml:space="preserve"> </w:t>
      </w:r>
    </w:p>
    <w:p w14:paraId="75982463" w14:textId="77777777" w:rsidR="00781603" w:rsidRPr="00781603" w:rsidRDefault="00781603" w:rsidP="008660AD">
      <w:pPr>
        <w:ind w:right="1"/>
        <w:rPr>
          <w:sz w:val="22"/>
          <w:szCs w:val="22"/>
          <w:highlight w:val="lightGray"/>
        </w:rPr>
      </w:pPr>
      <w:r w:rsidRPr="00781603">
        <w:rPr>
          <w:sz w:val="22"/>
          <w:szCs w:val="22"/>
          <w:highlight w:val="lightGray"/>
        </w:rPr>
        <w:t>&lt;In case a tenderer applies to (</w:t>
      </w:r>
      <w:r w:rsidRPr="00781603">
        <w:rPr>
          <w:sz w:val="22"/>
          <w:szCs w:val="22"/>
          <w:highlight w:val="yellow"/>
        </w:rPr>
        <w:t>for example, both lot n° 1 and lot n° 2, …)</w:t>
      </w:r>
      <w:r w:rsidRPr="00781603">
        <w:rPr>
          <w:sz w:val="22"/>
          <w:szCs w:val="22"/>
          <w:highlight w:val="lightGray"/>
        </w:rPr>
        <w:t>, the tenderer must comply with the following selection criteria:</w:t>
      </w:r>
    </w:p>
    <w:p w14:paraId="68B8E658" w14:textId="77777777" w:rsidR="00781603" w:rsidRPr="00781603" w:rsidRDefault="00781603" w:rsidP="008660AD">
      <w:pPr>
        <w:ind w:right="1"/>
        <w:rPr>
          <w:sz w:val="22"/>
          <w:szCs w:val="22"/>
        </w:rPr>
      </w:pPr>
      <w:r w:rsidRPr="00781603">
        <w:rPr>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proofErr w:type="gramStart"/>
      <w:r w:rsidRPr="00781603">
        <w:rPr>
          <w:sz w:val="22"/>
          <w:szCs w:val="22"/>
          <w:highlight w:val="yellow"/>
        </w:rPr>
        <w:t>)</w:t>
      </w:r>
      <w:r w:rsidRPr="00781603">
        <w:rPr>
          <w:sz w:val="22"/>
          <w:szCs w:val="22"/>
        </w:rPr>
        <w:t>:…</w:t>
      </w:r>
      <w:proofErr w:type="gramEnd"/>
      <w:r w:rsidRPr="00781603">
        <w:rPr>
          <w:sz w:val="22"/>
          <w:szCs w:val="22"/>
        </w:rPr>
        <w:t>.</w:t>
      </w:r>
    </w:p>
    <w:p w14:paraId="1869ABE4"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28F40F37"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17</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Award criteria</w:t>
      </w:r>
    </w:p>
    <w:p w14:paraId="576FDB42" w14:textId="1B52A1C5" w:rsidR="006F5FD0" w:rsidRPr="00B33EE6" w:rsidRDefault="001C2C56" w:rsidP="0007067C">
      <w:pPr>
        <w:pStyle w:val="Blockquote"/>
        <w:ind w:left="426" w:right="1"/>
        <w:jc w:val="both"/>
        <w:rPr>
          <w:sz w:val="22"/>
          <w:szCs w:val="22"/>
          <w:lang w:val="en-GB"/>
        </w:rPr>
      </w:pPr>
      <w:r>
        <w:rPr>
          <w:sz w:val="22"/>
          <w:szCs w:val="22"/>
          <w:lang w:val="en-GB"/>
        </w:rPr>
        <w:t>T</w:t>
      </w:r>
      <w:r w:rsidR="00831982" w:rsidRPr="003F1149">
        <w:rPr>
          <w:sz w:val="22"/>
          <w:szCs w:val="22"/>
          <w:lang w:val="en-GB"/>
        </w:rPr>
        <w:t xml:space="preserve">he </w:t>
      </w:r>
      <w:r w:rsidR="00831982">
        <w:rPr>
          <w:sz w:val="22"/>
          <w:szCs w:val="22"/>
          <w:lang w:val="en-GB"/>
        </w:rPr>
        <w:t xml:space="preserve">best </w:t>
      </w:r>
      <w:r w:rsidR="00831982" w:rsidRPr="00B619CC">
        <w:rPr>
          <w:lang w:val="en-GB"/>
        </w:rPr>
        <w:t>price-quality ratio</w:t>
      </w:r>
      <w:r w:rsidR="00831982" w:rsidRPr="0044555C">
        <w:rPr>
          <w:lang w:val="en-GB"/>
        </w:rPr>
        <w:t xml:space="preserve"> </w:t>
      </w:r>
      <w:r>
        <w:rPr>
          <w:sz w:val="22"/>
          <w:szCs w:val="22"/>
          <w:lang w:val="en-GB"/>
        </w:rPr>
        <w:t xml:space="preserve">or </w:t>
      </w:r>
      <w:r w:rsidR="00A92981">
        <w:rPr>
          <w:sz w:val="22"/>
          <w:szCs w:val="22"/>
          <w:lang w:val="en-GB"/>
        </w:rPr>
        <w:t xml:space="preserve">lowest </w:t>
      </w:r>
      <w:r>
        <w:rPr>
          <w:sz w:val="22"/>
          <w:szCs w:val="22"/>
          <w:lang w:val="en-GB"/>
        </w:rPr>
        <w:t>price.</w:t>
      </w:r>
    </w:p>
    <w:p w14:paraId="793B56EE" w14:textId="4B2CE519"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20F3FC90">
                <wp:simplePos x="0" y="0"/>
                <wp:positionH relativeFrom="column">
                  <wp:posOffset>0</wp:posOffset>
                </wp:positionH>
                <wp:positionV relativeFrom="paragraph">
                  <wp:posOffset>152400</wp:posOffset>
                </wp:positionV>
                <wp:extent cx="5943600" cy="635"/>
                <wp:effectExtent l="0" t="0" r="0" b="0"/>
                <wp:wrapNone/>
                <wp:docPr id="8745258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D0D59"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Textennegreta"/>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Textennegreta"/>
          <w:sz w:val="22"/>
          <w:szCs w:val="22"/>
          <w:lang w:val="en-GB"/>
        </w:rPr>
        <w:t>18</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 xml:space="preserve">Deadline for </w:t>
      </w:r>
      <w:r w:rsidR="0013314C">
        <w:rPr>
          <w:rStyle w:val="Textennegreta"/>
          <w:sz w:val="22"/>
          <w:szCs w:val="22"/>
          <w:lang w:val="en-GB"/>
        </w:rPr>
        <w:t xml:space="preserve">submission </w:t>
      </w:r>
      <w:r w:rsidR="006F5FD0" w:rsidRPr="00B33EE6">
        <w:rPr>
          <w:rStyle w:val="Textennegreta"/>
          <w:sz w:val="22"/>
          <w:szCs w:val="22"/>
          <w:lang w:val="en-GB"/>
        </w:rPr>
        <w:t xml:space="preserve">of </w:t>
      </w:r>
      <w:r w:rsidRPr="00B33EE6">
        <w:rPr>
          <w:rStyle w:val="Textennegreta"/>
          <w:sz w:val="22"/>
          <w:szCs w:val="22"/>
          <w:lang w:val="en-GB"/>
        </w:rPr>
        <w:t>tenders</w:t>
      </w:r>
    </w:p>
    <w:p w14:paraId="61DD2F00" w14:textId="5146A5EE" w:rsidR="006F5FD0" w:rsidRPr="00B33EE6" w:rsidRDefault="00994EA3">
      <w:pPr>
        <w:pStyle w:val="Blockquote"/>
        <w:jc w:val="both"/>
        <w:rPr>
          <w:i/>
          <w:sz w:val="22"/>
          <w:szCs w:val="22"/>
          <w:lang w:val="en-GB"/>
        </w:rPr>
      </w:pPr>
      <w:r w:rsidRPr="00B33EE6">
        <w:rPr>
          <w:rStyle w:val="mfasi"/>
          <w:i w:val="0"/>
          <w:sz w:val="22"/>
          <w:szCs w:val="22"/>
          <w:lang w:val="en-GB"/>
        </w:rPr>
        <w:t xml:space="preserve">The deadline for </w:t>
      </w:r>
      <w:r w:rsidR="0013314C">
        <w:rPr>
          <w:rStyle w:val="mfasi"/>
          <w:i w:val="0"/>
          <w:sz w:val="22"/>
          <w:szCs w:val="22"/>
          <w:lang w:val="en-GB"/>
        </w:rPr>
        <w:t xml:space="preserve">submission </w:t>
      </w:r>
      <w:r w:rsidRPr="00B33EE6">
        <w:rPr>
          <w:rStyle w:val="mfasi"/>
          <w:i w:val="0"/>
          <w:sz w:val="22"/>
          <w:szCs w:val="22"/>
          <w:lang w:val="en-GB"/>
        </w:rPr>
        <w:t xml:space="preserve">of tenders is </w:t>
      </w:r>
      <w:r w:rsidR="00C52B1A" w:rsidRPr="008660AD">
        <w:rPr>
          <w:rStyle w:val="mfasi"/>
          <w:i w:val="0"/>
          <w:sz w:val="22"/>
          <w:szCs w:val="22"/>
          <w:highlight w:val="yellow"/>
          <w:lang w:val="en-GB"/>
        </w:rPr>
        <w:t>[date and time]</w:t>
      </w:r>
      <w:r w:rsidRPr="00B33EE6">
        <w:rPr>
          <w:rStyle w:val="mfasi"/>
          <w:i w:val="0"/>
          <w:sz w:val="22"/>
          <w:szCs w:val="22"/>
          <w:lang w:val="en-GB"/>
        </w:rPr>
        <w:t>.</w:t>
      </w:r>
      <w:r w:rsidRPr="00B33EE6" w:rsidDel="00994EA3">
        <w:rPr>
          <w:rStyle w:val="mfasi"/>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Textennegreta"/>
          <w:sz w:val="22"/>
          <w:szCs w:val="22"/>
          <w:lang w:val="en-GB"/>
        </w:rPr>
        <w:t>19</w:t>
      </w:r>
      <w:r w:rsidR="006F5FD0"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Tender </w:t>
      </w:r>
      <w:r w:rsidR="006F5FD0" w:rsidRPr="00B33EE6">
        <w:rPr>
          <w:rStyle w:val="Textennegreta"/>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Textennegreta"/>
          <w:b w:val="0"/>
          <w:sz w:val="22"/>
          <w:szCs w:val="22"/>
          <w:lang w:val="en-GB"/>
        </w:rPr>
        <w:t>Tenders</w:t>
      </w:r>
      <w:r w:rsidR="006F5FD0" w:rsidRPr="00B33EE6">
        <w:rPr>
          <w:rStyle w:val="Textennegreta"/>
          <w:b w:val="0"/>
          <w:sz w:val="22"/>
          <w:szCs w:val="22"/>
          <w:lang w:val="en-GB"/>
        </w:rPr>
        <w:t xml:space="preserve"> must be submitted using the standard </w:t>
      </w:r>
      <w:r w:rsidRPr="00B33EE6">
        <w:rPr>
          <w:rStyle w:val="Textennegreta"/>
          <w:b w:val="0"/>
          <w:sz w:val="22"/>
          <w:szCs w:val="22"/>
          <w:lang w:val="en-GB"/>
        </w:rPr>
        <w:t>tender</w:t>
      </w:r>
      <w:r w:rsidR="006F5FD0" w:rsidRPr="00B33EE6">
        <w:rPr>
          <w:rStyle w:val="Textennegreta"/>
          <w:b w:val="0"/>
          <w:sz w:val="22"/>
          <w:szCs w:val="22"/>
          <w:lang w:val="en-GB"/>
        </w:rPr>
        <w:t xml:space="preserve"> form</w:t>
      </w:r>
      <w:r w:rsidR="00771F85">
        <w:rPr>
          <w:rStyle w:val="Textennegreta"/>
          <w:b w:val="0"/>
          <w:sz w:val="22"/>
          <w:szCs w:val="22"/>
          <w:lang w:val="en-GB"/>
        </w:rPr>
        <w:t>.</w:t>
      </w:r>
      <w:r w:rsidR="006F5FD0" w:rsidRPr="00B33EE6">
        <w:rPr>
          <w:sz w:val="22"/>
          <w:szCs w:val="22"/>
          <w:lang w:val="en-GB"/>
        </w:rPr>
        <w:t xml:space="preserve"> </w:t>
      </w:r>
    </w:p>
    <w:p w14:paraId="177AD528" w14:textId="23F06663" w:rsidR="00B2614F" w:rsidRDefault="004D5EDB" w:rsidP="00B2614F">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w:t>
      </w:r>
      <w:r w:rsidR="00B2614F">
        <w:rPr>
          <w:sz w:val="22"/>
          <w:szCs w:val="22"/>
          <w:lang w:val="en-GB"/>
        </w:rPr>
        <w:t>(form G3)</w:t>
      </w:r>
    </w:p>
    <w:p w14:paraId="438E0786" w14:textId="7A9642A1" w:rsidR="006F5FD0" w:rsidRPr="00B33EE6" w:rsidRDefault="00881C2D">
      <w:pPr>
        <w:pStyle w:val="Blockquote"/>
        <w:jc w:val="both"/>
        <w:rPr>
          <w:sz w:val="22"/>
          <w:szCs w:val="22"/>
          <w:lang w:val="en-GB"/>
        </w:rPr>
      </w:pPr>
      <w:r>
        <w:rPr>
          <w:sz w:val="22"/>
          <w:szCs w:val="22"/>
          <w:lang w:val="en-GB"/>
        </w:rPr>
        <w:t xml:space="preserve"> </w:t>
      </w:r>
      <w:r w:rsidR="006F5FD0" w:rsidRPr="00B33EE6">
        <w:rPr>
          <w:sz w:val="22"/>
          <w:szCs w:val="22"/>
          <w:lang w:val="en-GB"/>
        </w:rPr>
        <w:t>Any additional documentation (brochure, letter, etc</w:t>
      </w:r>
      <w:r w:rsidR="00235A71" w:rsidRPr="00B33EE6">
        <w:rPr>
          <w:sz w:val="22"/>
          <w:szCs w:val="22"/>
          <w:lang w:val="en-GB"/>
        </w:rPr>
        <w:t>.</w:t>
      </w:r>
      <w:r w:rsidR="006F5FD0" w:rsidRPr="00B33EE6">
        <w:rPr>
          <w:sz w:val="22"/>
          <w:szCs w:val="22"/>
          <w:lang w:val="en-GB"/>
        </w:rPr>
        <w:t xml:space="preserve">) sent with a </w:t>
      </w:r>
      <w:r w:rsidR="004D5EDB" w:rsidRPr="00B33EE6">
        <w:rPr>
          <w:sz w:val="22"/>
          <w:szCs w:val="22"/>
          <w:lang w:val="en-GB"/>
        </w:rPr>
        <w:t>tender</w:t>
      </w:r>
      <w:r w:rsidR="006F5FD0"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0</w:t>
      </w:r>
      <w:r w:rsidRPr="00B33EE6">
        <w:rPr>
          <w:rStyle w:val="Textennegreta"/>
          <w:sz w:val="22"/>
          <w:szCs w:val="22"/>
          <w:lang w:val="en-GB"/>
        </w:rPr>
        <w:t xml:space="preserve">. </w:t>
      </w:r>
      <w:r w:rsidR="00584BF4" w:rsidRPr="00B33EE6">
        <w:rPr>
          <w:rStyle w:val="Textennegreta"/>
          <w:sz w:val="22"/>
          <w:szCs w:val="22"/>
          <w:lang w:val="en-GB"/>
        </w:rPr>
        <w:tab/>
      </w:r>
      <w:r w:rsidRPr="00B33EE6">
        <w:rPr>
          <w:rStyle w:val="Textennegreta"/>
          <w:sz w:val="22"/>
          <w:szCs w:val="22"/>
          <w:lang w:val="en-GB"/>
        </w:rPr>
        <w:t xml:space="preserve">How </w:t>
      </w:r>
      <w:r w:rsidR="006714ED" w:rsidRPr="00B33EE6">
        <w:rPr>
          <w:rStyle w:val="Textennegreta"/>
          <w:sz w:val="22"/>
          <w:szCs w:val="22"/>
          <w:lang w:val="en-GB"/>
        </w:rPr>
        <w:t>tenders</w:t>
      </w:r>
      <w:r w:rsidRPr="00B33EE6">
        <w:rPr>
          <w:rStyle w:val="Textennegreta"/>
          <w:sz w:val="22"/>
          <w:szCs w:val="22"/>
          <w:lang w:val="en-GB"/>
        </w:rPr>
        <w:t xml:space="preserve"> may be submitted</w:t>
      </w:r>
    </w:p>
    <w:p w14:paraId="7919897A" w14:textId="5BF24C83"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w:t>
      </w:r>
      <w:r w:rsidR="00B2614F">
        <w:rPr>
          <w:sz w:val="22"/>
          <w:szCs w:val="22"/>
          <w:lang w:val="en-GB"/>
        </w:rPr>
        <w:t>[</w:t>
      </w:r>
      <w:r w:rsidR="006F5FD0" w:rsidRPr="00B2614F">
        <w:rPr>
          <w:sz w:val="22"/>
          <w:szCs w:val="22"/>
          <w:highlight w:val="lightGray"/>
          <w:lang w:val="en-GB"/>
        </w:rPr>
        <w:t>English</w:t>
      </w:r>
      <w:proofErr w:type="gramStart"/>
      <w:r w:rsidR="00B2614F">
        <w:rPr>
          <w:sz w:val="22"/>
          <w:szCs w:val="22"/>
          <w:lang w:val="en-GB"/>
        </w:rPr>
        <w:t>][</w:t>
      </w:r>
      <w:proofErr w:type="gramEnd"/>
      <w:r w:rsidR="00B2614F" w:rsidRPr="00B2614F">
        <w:rPr>
          <w:sz w:val="22"/>
          <w:szCs w:val="22"/>
          <w:highlight w:val="lightGray"/>
          <w:lang w:val="en-GB"/>
        </w:rPr>
        <w:t>national language</w:t>
      </w:r>
      <w:r w:rsidR="00B2614F">
        <w:rPr>
          <w:sz w:val="22"/>
          <w:szCs w:val="22"/>
          <w:lang w:val="en-GB"/>
        </w:rPr>
        <w:t>]</w:t>
      </w:r>
      <w:r w:rsidR="006F5FD0" w:rsidRPr="00B33EE6">
        <w:rPr>
          <w:sz w:val="22"/>
          <w:szCs w:val="22"/>
          <w:lang w:val="en-GB"/>
        </w:rPr>
        <w:t xml:space="preserve">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3C2273">
        <w:rPr>
          <w:sz w:val="22"/>
          <w:szCs w:val="22"/>
          <w:lang w:val="en-GB"/>
        </w:rPr>
        <w:t>9</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Textennegreta"/>
          <w:b w:val="0"/>
          <w:sz w:val="22"/>
          <w:szCs w:val="22"/>
          <w:lang w:val="en-GB"/>
        </w:rPr>
      </w:pPr>
      <w:r w:rsidRPr="00B33EE6">
        <w:rPr>
          <w:rStyle w:val="Textennegreta"/>
          <w:b w:val="0"/>
          <w:sz w:val="22"/>
          <w:szCs w:val="22"/>
          <w:lang w:val="en-GB"/>
        </w:rPr>
        <w:lastRenderedPageBreak/>
        <w:t>Tenders</w:t>
      </w:r>
      <w:r w:rsidR="006F5FD0" w:rsidRPr="00B33EE6">
        <w:rPr>
          <w:rStyle w:val="Textennegreta"/>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Textennegreta"/>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Textennegreta"/>
          <w:sz w:val="22"/>
          <w:szCs w:val="22"/>
          <w:lang w:val="en-GB"/>
        </w:rPr>
        <w:t>2</w:t>
      </w:r>
      <w:r w:rsidR="006714ED" w:rsidRPr="00B33EE6">
        <w:rPr>
          <w:rStyle w:val="Textennegreta"/>
          <w:sz w:val="22"/>
          <w:szCs w:val="22"/>
          <w:lang w:val="en-GB"/>
        </w:rPr>
        <w:t>1</w:t>
      </w:r>
      <w:r w:rsidRPr="00B33EE6">
        <w:rPr>
          <w:rStyle w:val="Textennegreta"/>
          <w:sz w:val="22"/>
          <w:szCs w:val="22"/>
          <w:lang w:val="en-GB"/>
        </w:rPr>
        <w:t>.</w:t>
      </w:r>
      <w:r w:rsidR="00584BF4" w:rsidRPr="00B33EE6">
        <w:rPr>
          <w:rStyle w:val="Textennegreta"/>
          <w:sz w:val="22"/>
          <w:szCs w:val="22"/>
          <w:lang w:val="en-GB"/>
        </w:rPr>
        <w:tab/>
      </w:r>
      <w:r w:rsidRPr="00B33EE6">
        <w:rPr>
          <w:rStyle w:val="Textennegreta"/>
          <w:sz w:val="22"/>
          <w:szCs w:val="22"/>
          <w:lang w:val="en-GB"/>
        </w:rPr>
        <w:t xml:space="preserve">Alteration or withdrawal of </w:t>
      </w:r>
      <w:r w:rsidR="006714ED" w:rsidRPr="00B33EE6">
        <w:rPr>
          <w:rStyle w:val="Textennegreta"/>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54925365"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w:t>
      </w:r>
      <w:r w:rsidR="00A92981">
        <w:rPr>
          <w:sz w:val="22"/>
          <w:szCs w:val="22"/>
          <w:lang w:val="en-GB"/>
        </w:rPr>
        <w:t>3</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Textennegreta"/>
          <w:sz w:val="22"/>
          <w:szCs w:val="22"/>
          <w:lang w:val="en-GB"/>
        </w:rPr>
        <w:t>2</w:t>
      </w:r>
      <w:r w:rsidR="006714ED" w:rsidRPr="00B33EE6">
        <w:rPr>
          <w:rStyle w:val="Textennegreta"/>
          <w:sz w:val="22"/>
          <w:szCs w:val="22"/>
          <w:lang w:val="en-GB"/>
        </w:rPr>
        <w:t>2</w:t>
      </w:r>
      <w:r w:rsidR="006F5FD0" w:rsidRPr="00B33EE6">
        <w:rPr>
          <w:rStyle w:val="Textennegreta"/>
          <w:sz w:val="22"/>
          <w:szCs w:val="22"/>
          <w:lang w:val="en-GB"/>
        </w:rPr>
        <w:t xml:space="preserve">. </w:t>
      </w:r>
      <w:r w:rsidR="00584BF4" w:rsidRPr="00B33EE6">
        <w:rPr>
          <w:rStyle w:val="Textennegreta"/>
          <w:sz w:val="22"/>
          <w:szCs w:val="22"/>
          <w:lang w:val="en-GB"/>
        </w:rPr>
        <w:tab/>
      </w:r>
      <w:r w:rsidR="006F5FD0" w:rsidRPr="00B33EE6">
        <w:rPr>
          <w:rStyle w:val="Textennegreta"/>
          <w:sz w:val="22"/>
          <w:szCs w:val="22"/>
          <w:lang w:val="en-GB"/>
        </w:rPr>
        <w:t>Operational language</w:t>
      </w:r>
    </w:p>
    <w:p w14:paraId="231E3CC8" w14:textId="68E682DC" w:rsidR="006F5FD0" w:rsidRPr="00B33EE6" w:rsidRDefault="006F5FD0">
      <w:pPr>
        <w:pStyle w:val="Blockquote"/>
        <w:jc w:val="both"/>
        <w:rPr>
          <w:i/>
          <w:sz w:val="22"/>
          <w:szCs w:val="22"/>
          <w:lang w:val="en-GB"/>
        </w:rPr>
      </w:pPr>
      <w:r w:rsidRPr="00B33EE6">
        <w:rPr>
          <w:rStyle w:val="mfasi"/>
          <w:i w:val="0"/>
          <w:sz w:val="22"/>
          <w:szCs w:val="22"/>
          <w:lang w:val="en-GB"/>
        </w:rPr>
        <w:t xml:space="preserve">All written communications for this tender procedure and contract must be in </w:t>
      </w:r>
      <w:r w:rsidR="00CC0807">
        <w:rPr>
          <w:rStyle w:val="mfasi"/>
          <w:i w:val="0"/>
          <w:sz w:val="22"/>
          <w:szCs w:val="22"/>
          <w:lang w:val="en-GB"/>
        </w:rPr>
        <w:t>[</w:t>
      </w:r>
      <w:r w:rsidRPr="00CC0807">
        <w:rPr>
          <w:rStyle w:val="mfasi"/>
          <w:i w:val="0"/>
          <w:sz w:val="22"/>
          <w:szCs w:val="22"/>
          <w:highlight w:val="lightGray"/>
          <w:lang w:val="en-GB"/>
        </w:rPr>
        <w:t>English</w:t>
      </w:r>
      <w:proofErr w:type="gramStart"/>
      <w:r w:rsidR="00CC0807">
        <w:rPr>
          <w:rStyle w:val="mfasi"/>
          <w:i w:val="0"/>
          <w:sz w:val="22"/>
          <w:szCs w:val="22"/>
          <w:lang w:val="en-GB"/>
        </w:rPr>
        <w:t>][</w:t>
      </w:r>
      <w:proofErr w:type="gramEnd"/>
      <w:r w:rsidR="00CC0807" w:rsidRPr="00CC0807">
        <w:rPr>
          <w:rStyle w:val="mfasi"/>
          <w:i w:val="0"/>
          <w:sz w:val="22"/>
          <w:szCs w:val="22"/>
          <w:highlight w:val="lightGray"/>
          <w:lang w:val="en-GB"/>
        </w:rPr>
        <w:t>national language</w:t>
      </w:r>
      <w:r w:rsidR="00CC0807">
        <w:rPr>
          <w:rStyle w:val="mfasi"/>
          <w:i w:val="0"/>
          <w:sz w:val="22"/>
          <w:szCs w:val="22"/>
          <w:lang w:val="en-GB"/>
        </w:rPr>
        <w:t>]</w:t>
      </w:r>
      <w:r w:rsidRPr="00B33EE6">
        <w:rPr>
          <w:rStyle w:val="mfasi"/>
          <w:i w:val="0"/>
          <w:sz w:val="22"/>
          <w:szCs w:val="22"/>
          <w:lang w:val="en-GB"/>
        </w:rPr>
        <w:t xml:space="preserve">.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CF14957"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w:t>
      </w:r>
      <w:proofErr w:type="gramStart"/>
      <w:r w:rsidRPr="008660AD">
        <w:rPr>
          <w:sz w:val="22"/>
          <w:szCs w:val="22"/>
          <w:lang w:val="en-GB"/>
        </w:rPr>
        <w:t>form  must</w:t>
      </w:r>
      <w:proofErr w:type="gramEnd"/>
      <w:r w:rsidRPr="008660AD">
        <w:rPr>
          <w:sz w:val="22"/>
          <w:szCs w:val="22"/>
          <w:lang w:val="en-GB"/>
        </w:rPr>
        <w:t xml:space="preserve"> be expressed in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w:t>
      </w:r>
      <w:r w:rsidRPr="008660AD">
        <w:rPr>
          <w:sz w:val="22"/>
          <w:szCs w:val="22"/>
          <w:lang w:val="en-GB"/>
        </w:rPr>
        <w:t xml:space="preserve">. If applicable, where a candidate refers to amounts originally expressed in a different currency, the conversion to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w:t>
      </w:r>
      <w:r w:rsidRPr="008660AD">
        <w:rPr>
          <w:sz w:val="22"/>
          <w:szCs w:val="22"/>
          <w:lang w:val="en-GB"/>
        </w:rPr>
        <w:t xml:space="preserve"> shall be made in accordance with the </w:t>
      </w:r>
      <w:proofErr w:type="spellStart"/>
      <w:r w:rsidRPr="008660AD">
        <w:rPr>
          <w:sz w:val="22"/>
          <w:szCs w:val="22"/>
          <w:lang w:val="en-GB"/>
        </w:rPr>
        <w:t>InforEuro</w:t>
      </w:r>
      <w:proofErr w:type="spellEnd"/>
      <w:r w:rsidRPr="008660AD">
        <w:rPr>
          <w:sz w:val="22"/>
          <w:szCs w:val="22"/>
          <w:lang w:val="en-GB"/>
        </w:rPr>
        <w:t xml:space="preserve"> exchange rate of </w:t>
      </w:r>
      <w:r w:rsidRPr="008660AD">
        <w:rPr>
          <w:sz w:val="22"/>
          <w:szCs w:val="22"/>
          <w:highlight w:val="yellow"/>
          <w:lang w:val="en-GB"/>
        </w:rPr>
        <w:t>[&lt;</w:t>
      </w:r>
      <w:r w:rsidRPr="008660AD">
        <w:rPr>
          <w:b/>
          <w:sz w:val="22"/>
          <w:szCs w:val="22"/>
          <w:highlight w:val="yellow"/>
          <w:lang w:val="en-GB"/>
        </w:rPr>
        <w:t xml:space="preserve">MONTH and YEAR&gt; </w:t>
      </w:r>
      <w:r w:rsidRPr="008660AD">
        <w:rPr>
          <w:sz w:val="22"/>
          <w:szCs w:val="22"/>
          <w:highlight w:val="yellow"/>
          <w:lang w:val="en-GB"/>
        </w:rPr>
        <w:t xml:space="preserve">of the applicable </w:t>
      </w:r>
      <w:proofErr w:type="spellStart"/>
      <w:r w:rsidRPr="008660AD">
        <w:rPr>
          <w:sz w:val="22"/>
          <w:szCs w:val="22"/>
          <w:highlight w:val="yellow"/>
          <w:lang w:val="en-GB"/>
        </w:rPr>
        <w:t>InforEuro</w:t>
      </w:r>
      <w:proofErr w:type="spellEnd"/>
      <w:r w:rsidRPr="008660AD">
        <w:rPr>
          <w:sz w:val="22"/>
          <w:szCs w:val="22"/>
          <w:highlight w:val="yellow"/>
          <w:lang w:val="en-GB"/>
        </w:rPr>
        <w:t xml:space="preserve"> exchange rate, which can correspond to the month and year of the publication of the present contract notice</w:t>
      </w:r>
      <w:r w:rsidRPr="008660AD">
        <w:rPr>
          <w:sz w:val="22"/>
          <w:szCs w:val="22"/>
          <w:lang w:val="en-GB"/>
        </w:rPr>
        <w:t xml:space="preserve">], which can be found at the following address: </w:t>
      </w:r>
      <w:hyperlink r:id="rId12" w:history="1">
        <w:r w:rsidRPr="008660AD">
          <w:rPr>
            <w:rStyle w:val="Enlla"/>
            <w:sz w:val="22"/>
            <w:szCs w:val="22"/>
            <w:lang w:val="en-GB"/>
          </w:rPr>
          <w:t>http://ec.europa.eu/budget/graphs/inforeuro.html</w:t>
        </w:r>
      </w:hyperlink>
      <w:r w:rsidRPr="008660A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3B7CA6">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FBA7B" w14:textId="77777777" w:rsidR="00687EF7" w:rsidRDefault="00687EF7">
      <w:r>
        <w:separator/>
      </w:r>
    </w:p>
  </w:endnote>
  <w:endnote w:type="continuationSeparator" w:id="0">
    <w:p w14:paraId="51EC132D" w14:textId="77777777" w:rsidR="00687EF7" w:rsidRDefault="0068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EBA12" w14:textId="3E1015E5" w:rsidR="00EF0A8C" w:rsidRPr="00B33EE6" w:rsidRDefault="003670BA" w:rsidP="00F9055E">
    <w:pPr>
      <w:pStyle w:val="Peu"/>
      <w:tabs>
        <w:tab w:val="clear" w:pos="4320"/>
        <w:tab w:val="clear" w:pos="8640"/>
        <w:tab w:val="right" w:pos="9214"/>
      </w:tabs>
      <w:spacing w:before="120" w:after="0"/>
      <w:rPr>
        <w:b/>
        <w:sz w:val="20"/>
        <w:lang w:val="en-GB"/>
      </w:rPr>
    </w:pPr>
    <w:r w:rsidRPr="003670BA">
      <w:rPr>
        <w:b/>
        <w:sz w:val="20"/>
      </w:rPr>
      <w:t>202</w:t>
    </w:r>
    <w:r w:rsidR="003F7772">
      <w:rPr>
        <w:b/>
        <w:sz w:val="20"/>
      </w:rPr>
      <w:t>4</w:t>
    </w:r>
    <w:r w:rsidR="00EF0A8C" w:rsidRPr="00B33EE6">
      <w:rPr>
        <w:sz w:val="18"/>
        <w:szCs w:val="18"/>
        <w:lang w:val="en-GB"/>
      </w:rPr>
      <w:tab/>
      <w:t xml:space="preserve">Page </w:t>
    </w:r>
    <w:r w:rsidR="00EF0A8C" w:rsidRPr="00B33EE6">
      <w:rPr>
        <w:rStyle w:val="Nmerodepgina"/>
        <w:sz w:val="18"/>
        <w:szCs w:val="18"/>
        <w:lang w:val="en-GB"/>
      </w:rPr>
      <w:fldChar w:fldCharType="begin"/>
    </w:r>
    <w:r w:rsidR="00EF0A8C" w:rsidRPr="00B33EE6">
      <w:rPr>
        <w:rStyle w:val="Nmerodepgina"/>
        <w:sz w:val="18"/>
        <w:szCs w:val="18"/>
        <w:lang w:val="en-GB"/>
      </w:rPr>
      <w:instrText xml:space="preserve"> PAGE </w:instrText>
    </w:r>
    <w:r w:rsidR="00EF0A8C" w:rsidRPr="00B33EE6">
      <w:rPr>
        <w:rStyle w:val="Nmerodepgina"/>
        <w:sz w:val="18"/>
        <w:szCs w:val="18"/>
        <w:lang w:val="en-GB"/>
      </w:rPr>
      <w:fldChar w:fldCharType="separate"/>
    </w:r>
    <w:r w:rsidR="00711A01">
      <w:rPr>
        <w:rStyle w:val="Nmerodepgina"/>
        <w:noProof/>
        <w:sz w:val="18"/>
        <w:szCs w:val="18"/>
        <w:lang w:val="en-GB"/>
      </w:rPr>
      <w:t>12</w:t>
    </w:r>
    <w:r w:rsidR="00EF0A8C" w:rsidRPr="00B33EE6">
      <w:rPr>
        <w:rStyle w:val="Nmerodepgina"/>
        <w:sz w:val="18"/>
        <w:szCs w:val="18"/>
        <w:lang w:val="en-GB"/>
      </w:rPr>
      <w:fldChar w:fldCharType="end"/>
    </w:r>
    <w:r w:rsidR="00B33EE6" w:rsidRPr="00B33EE6">
      <w:rPr>
        <w:rStyle w:val="Nmerodepgina"/>
        <w:sz w:val="18"/>
        <w:szCs w:val="18"/>
        <w:lang w:val="en-GB"/>
      </w:rPr>
      <w:t xml:space="preserve"> of </w:t>
    </w:r>
    <w:r w:rsidR="00B33EE6" w:rsidRPr="00B33EE6">
      <w:rPr>
        <w:rStyle w:val="Nmerodepgina"/>
        <w:sz w:val="18"/>
        <w:szCs w:val="18"/>
        <w:lang w:val="en-GB"/>
      </w:rPr>
      <w:fldChar w:fldCharType="begin"/>
    </w:r>
    <w:r w:rsidR="00B33EE6" w:rsidRPr="00B33EE6">
      <w:rPr>
        <w:rStyle w:val="Nmerodepgina"/>
        <w:sz w:val="18"/>
        <w:szCs w:val="18"/>
        <w:lang w:val="en-GB"/>
      </w:rPr>
      <w:instrText xml:space="preserve"> NUMPAGES   \* MERGEFORMAT </w:instrText>
    </w:r>
    <w:r w:rsidR="00B33EE6" w:rsidRPr="00B33EE6">
      <w:rPr>
        <w:rStyle w:val="Nmerodepgina"/>
        <w:sz w:val="18"/>
        <w:szCs w:val="18"/>
        <w:lang w:val="en-GB"/>
      </w:rPr>
      <w:fldChar w:fldCharType="separate"/>
    </w:r>
    <w:r w:rsidR="00711A01">
      <w:rPr>
        <w:rStyle w:val="Nmerodepgina"/>
        <w:noProof/>
        <w:sz w:val="18"/>
        <w:szCs w:val="18"/>
        <w:lang w:val="en-GB"/>
      </w:rPr>
      <w:t>12</w:t>
    </w:r>
    <w:r w:rsidR="00B33EE6" w:rsidRPr="00B33EE6">
      <w:rPr>
        <w:rStyle w:val="Nmerodepgina"/>
        <w:sz w:val="18"/>
        <w:szCs w:val="18"/>
        <w:lang w:val="en-GB"/>
      </w:rPr>
      <w:fldChar w:fldCharType="end"/>
    </w:r>
  </w:p>
  <w:p w14:paraId="77551F46" w14:textId="70E6BDF8" w:rsidR="00EF0A8C" w:rsidRPr="00B33EE6" w:rsidRDefault="00EF0A8C" w:rsidP="007727F3">
    <w:pPr>
      <w:pStyle w:val="Peu"/>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3F7772">
      <w:rPr>
        <w:noProof/>
        <w:sz w:val="18"/>
        <w:szCs w:val="18"/>
        <w:lang w:val="en-GB"/>
      </w:rPr>
      <w:t>SP1</w:t>
    </w:r>
    <w:r w:rsidR="00C474CC">
      <w:rPr>
        <w:noProof/>
        <w:sz w:val="18"/>
        <w:szCs w:val="18"/>
        <w:lang w:val="en-GB"/>
      </w:rPr>
      <w:t>b</w:t>
    </w:r>
    <w:r w:rsidR="003F7772">
      <w:rPr>
        <w:noProof/>
        <w:sz w:val="18"/>
        <w:szCs w:val="18"/>
        <w:lang w:val="en-GB"/>
      </w:rPr>
      <w:t xml:space="preserve">_contract notice </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3DE76" w14:textId="77777777" w:rsidR="00687EF7" w:rsidRDefault="00687EF7">
      <w:r>
        <w:separator/>
      </w:r>
    </w:p>
  </w:footnote>
  <w:footnote w:type="continuationSeparator" w:id="0">
    <w:p w14:paraId="3D363353" w14:textId="77777777" w:rsidR="00687EF7" w:rsidRDefault="00687EF7">
      <w:r>
        <w:continuationSeparator/>
      </w:r>
    </w:p>
  </w:footnote>
  <w:footnote w:id="1">
    <w:p w14:paraId="2125765E" w14:textId="0995D62B" w:rsidR="00AB4855" w:rsidRPr="004E0EED" w:rsidRDefault="00AB4855" w:rsidP="00360528">
      <w:pPr>
        <w:pStyle w:val="Textdenotaapeudepgina"/>
        <w:spacing w:before="0" w:after="0"/>
        <w:ind w:left="142" w:hanging="142"/>
      </w:pPr>
      <w:r>
        <w:rPr>
          <w:rStyle w:val="Refernciadenotaapeudepgina"/>
        </w:rPr>
        <w:footnoteRef/>
      </w:r>
      <w:r>
        <w:t xml:space="preserve"> </w:t>
      </w:r>
      <w:r w:rsidRPr="008E3A7B">
        <w:t xml:space="preserve">For </w:t>
      </w:r>
      <w:r w:rsidR="00360528">
        <w:t>p</w:t>
      </w:r>
      <w:r>
        <w:t>artners</w:t>
      </w:r>
      <w:r w:rsidRPr="008E3A7B">
        <w:t xml:space="preserve"> located in Partner Countries</w:t>
      </w:r>
    </w:p>
  </w:footnote>
  <w:footnote w:id="2">
    <w:p w14:paraId="353AAB85" w14:textId="170C546E" w:rsidR="00AB4855" w:rsidRPr="00361889" w:rsidRDefault="00AB4855" w:rsidP="00360528">
      <w:pPr>
        <w:pStyle w:val="Textdenotaapeudepgina"/>
        <w:spacing w:before="0" w:after="0"/>
        <w:ind w:left="142" w:hanging="142"/>
      </w:pPr>
      <w:r>
        <w:rPr>
          <w:rStyle w:val="Refernciadenotaapeudepgina"/>
        </w:rPr>
        <w:footnoteRef/>
      </w:r>
      <w:r>
        <w:t xml:space="preserve"> For </w:t>
      </w:r>
      <w:r w:rsidR="00360528">
        <w:t>p</w:t>
      </w:r>
      <w:r>
        <w:t>artners</w:t>
      </w:r>
      <w:r w:rsidRPr="008E3A7B">
        <w:t xml:space="preserve"> </w:t>
      </w:r>
      <w:r>
        <w:t>located in Member States, which are not contracting authorities within the meaning of the Union law applicable to public procurement procedures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507017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4323925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5789787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29698481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5398343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8436419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2570719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902118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13004855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560634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2654610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0207060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776250847">
    <w:abstractNumId w:val="17"/>
  </w:num>
  <w:num w:numId="14" w16cid:durableId="13452114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13488752">
    <w:abstractNumId w:val="13"/>
  </w:num>
  <w:num w:numId="16" w16cid:durableId="227306114">
    <w:abstractNumId w:val="15"/>
  </w:num>
  <w:num w:numId="17" w16cid:durableId="10230868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3890632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8423599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2310268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2801561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44068506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79471415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4675801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1107988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39732156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2112032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599411724">
    <w:abstractNumId w:val="27"/>
  </w:num>
  <w:num w:numId="29" w16cid:durableId="727455226">
    <w:abstractNumId w:val="27"/>
  </w:num>
  <w:num w:numId="30" w16cid:durableId="1179344647">
    <w:abstractNumId w:val="27"/>
  </w:num>
  <w:num w:numId="31" w16cid:durableId="388192910">
    <w:abstractNumId w:val="27"/>
  </w:num>
  <w:num w:numId="32" w16cid:durableId="156653176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33803426">
    <w:abstractNumId w:val="36"/>
  </w:num>
  <w:num w:numId="34" w16cid:durableId="586502003">
    <w:abstractNumId w:val="41"/>
  </w:num>
  <w:num w:numId="35" w16cid:durableId="272177475">
    <w:abstractNumId w:val="35"/>
  </w:num>
  <w:num w:numId="36" w16cid:durableId="10373727">
    <w:abstractNumId w:val="33"/>
  </w:num>
  <w:num w:numId="37" w16cid:durableId="579095696">
    <w:abstractNumId w:val="37"/>
  </w:num>
  <w:num w:numId="38" w16cid:durableId="842940461">
    <w:abstractNumId w:val="39"/>
  </w:num>
  <w:num w:numId="39" w16cid:durableId="1506825649">
    <w:abstractNumId w:val="43"/>
  </w:num>
  <w:num w:numId="40" w16cid:durableId="540553088">
    <w:abstractNumId w:val="44"/>
  </w:num>
  <w:num w:numId="41" w16cid:durableId="1070882093">
    <w:abstractNumId w:val="40"/>
  </w:num>
  <w:num w:numId="42" w16cid:durableId="1347903788">
    <w:abstractNumId w:val="42"/>
  </w:num>
  <w:num w:numId="43" w16cid:durableId="1805923832">
    <w:abstractNumId w:val="38"/>
  </w:num>
  <w:num w:numId="44" w16cid:durableId="1053847472">
    <w:abstractNumId w:val="34"/>
  </w:num>
  <w:num w:numId="45" w16cid:durableId="168998661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536"/>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2C56"/>
    <w:rsid w:val="001C64F1"/>
    <w:rsid w:val="001D19A6"/>
    <w:rsid w:val="001D55F7"/>
    <w:rsid w:val="001E50A2"/>
    <w:rsid w:val="001F0839"/>
    <w:rsid w:val="001F1546"/>
    <w:rsid w:val="001F780C"/>
    <w:rsid w:val="00201320"/>
    <w:rsid w:val="00212656"/>
    <w:rsid w:val="00213E14"/>
    <w:rsid w:val="00216179"/>
    <w:rsid w:val="00222460"/>
    <w:rsid w:val="00226829"/>
    <w:rsid w:val="00233B9D"/>
    <w:rsid w:val="00233DDA"/>
    <w:rsid w:val="00235A71"/>
    <w:rsid w:val="002413EA"/>
    <w:rsid w:val="00243849"/>
    <w:rsid w:val="00257287"/>
    <w:rsid w:val="002575AA"/>
    <w:rsid w:val="00266EB9"/>
    <w:rsid w:val="002753AD"/>
    <w:rsid w:val="002813C5"/>
    <w:rsid w:val="002B2145"/>
    <w:rsid w:val="002D266E"/>
    <w:rsid w:val="002D4121"/>
    <w:rsid w:val="002E1B83"/>
    <w:rsid w:val="002E2635"/>
    <w:rsid w:val="002E7D33"/>
    <w:rsid w:val="002F4E69"/>
    <w:rsid w:val="003045C3"/>
    <w:rsid w:val="00307D70"/>
    <w:rsid w:val="00313F6B"/>
    <w:rsid w:val="00322D52"/>
    <w:rsid w:val="003232ED"/>
    <w:rsid w:val="00323BDD"/>
    <w:rsid w:val="003262FC"/>
    <w:rsid w:val="00326B16"/>
    <w:rsid w:val="00330261"/>
    <w:rsid w:val="003378F6"/>
    <w:rsid w:val="00342E7F"/>
    <w:rsid w:val="00347673"/>
    <w:rsid w:val="003574F5"/>
    <w:rsid w:val="00357E25"/>
    <w:rsid w:val="00360528"/>
    <w:rsid w:val="00362824"/>
    <w:rsid w:val="00363ECB"/>
    <w:rsid w:val="00364564"/>
    <w:rsid w:val="003670BA"/>
    <w:rsid w:val="003717BC"/>
    <w:rsid w:val="00381DC6"/>
    <w:rsid w:val="003861D9"/>
    <w:rsid w:val="0038633F"/>
    <w:rsid w:val="00386E96"/>
    <w:rsid w:val="0038796E"/>
    <w:rsid w:val="0039147E"/>
    <w:rsid w:val="0039347D"/>
    <w:rsid w:val="003947E7"/>
    <w:rsid w:val="00397073"/>
    <w:rsid w:val="003A4357"/>
    <w:rsid w:val="003B1B35"/>
    <w:rsid w:val="003B49B9"/>
    <w:rsid w:val="003B7CA6"/>
    <w:rsid w:val="003C1515"/>
    <w:rsid w:val="003C2273"/>
    <w:rsid w:val="003D16FB"/>
    <w:rsid w:val="003D2A96"/>
    <w:rsid w:val="003D6CAD"/>
    <w:rsid w:val="003E782D"/>
    <w:rsid w:val="003F7772"/>
    <w:rsid w:val="003F7F39"/>
    <w:rsid w:val="004009DD"/>
    <w:rsid w:val="0040360C"/>
    <w:rsid w:val="004108A4"/>
    <w:rsid w:val="00420912"/>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7746D"/>
    <w:rsid w:val="00584BF4"/>
    <w:rsid w:val="00584D96"/>
    <w:rsid w:val="005877D2"/>
    <w:rsid w:val="00590ADB"/>
    <w:rsid w:val="005A21DC"/>
    <w:rsid w:val="005B35A2"/>
    <w:rsid w:val="005B4F80"/>
    <w:rsid w:val="005B5E3C"/>
    <w:rsid w:val="005C71EF"/>
    <w:rsid w:val="005D41DD"/>
    <w:rsid w:val="005F776D"/>
    <w:rsid w:val="0060359F"/>
    <w:rsid w:val="0061336A"/>
    <w:rsid w:val="006309DE"/>
    <w:rsid w:val="00632BDC"/>
    <w:rsid w:val="0064390B"/>
    <w:rsid w:val="00647DF3"/>
    <w:rsid w:val="00663C6D"/>
    <w:rsid w:val="006714ED"/>
    <w:rsid w:val="006738B9"/>
    <w:rsid w:val="00674F9C"/>
    <w:rsid w:val="006751D2"/>
    <w:rsid w:val="006770CA"/>
    <w:rsid w:val="00686C3A"/>
    <w:rsid w:val="00687EF7"/>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A1B"/>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5A83"/>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0A6F"/>
    <w:rsid w:val="00A666EC"/>
    <w:rsid w:val="00A779FE"/>
    <w:rsid w:val="00A77B07"/>
    <w:rsid w:val="00A84E04"/>
    <w:rsid w:val="00A85E8A"/>
    <w:rsid w:val="00A92981"/>
    <w:rsid w:val="00A94ED6"/>
    <w:rsid w:val="00A97B08"/>
    <w:rsid w:val="00AA5256"/>
    <w:rsid w:val="00AA7F22"/>
    <w:rsid w:val="00AB4855"/>
    <w:rsid w:val="00AB7F58"/>
    <w:rsid w:val="00AC0D0C"/>
    <w:rsid w:val="00AC4530"/>
    <w:rsid w:val="00AC7E0D"/>
    <w:rsid w:val="00AD1660"/>
    <w:rsid w:val="00AD1E4D"/>
    <w:rsid w:val="00AD6891"/>
    <w:rsid w:val="00AE1D8D"/>
    <w:rsid w:val="00AE4633"/>
    <w:rsid w:val="00AE6A5B"/>
    <w:rsid w:val="00AF0B6B"/>
    <w:rsid w:val="00AF412E"/>
    <w:rsid w:val="00AF7BB3"/>
    <w:rsid w:val="00B00363"/>
    <w:rsid w:val="00B063F9"/>
    <w:rsid w:val="00B06D60"/>
    <w:rsid w:val="00B112A1"/>
    <w:rsid w:val="00B14398"/>
    <w:rsid w:val="00B200AF"/>
    <w:rsid w:val="00B2614F"/>
    <w:rsid w:val="00B27B8B"/>
    <w:rsid w:val="00B33EE6"/>
    <w:rsid w:val="00B46840"/>
    <w:rsid w:val="00B503CB"/>
    <w:rsid w:val="00B50F8D"/>
    <w:rsid w:val="00B57050"/>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0FC7"/>
    <w:rsid w:val="00BD65BA"/>
    <w:rsid w:val="00BD69EF"/>
    <w:rsid w:val="00BD757A"/>
    <w:rsid w:val="00BE08EC"/>
    <w:rsid w:val="00BE3544"/>
    <w:rsid w:val="00BE595A"/>
    <w:rsid w:val="00BE5F29"/>
    <w:rsid w:val="00BE783C"/>
    <w:rsid w:val="00C00D44"/>
    <w:rsid w:val="00C03AF5"/>
    <w:rsid w:val="00C04FCE"/>
    <w:rsid w:val="00C067C5"/>
    <w:rsid w:val="00C0772E"/>
    <w:rsid w:val="00C147B2"/>
    <w:rsid w:val="00C15A17"/>
    <w:rsid w:val="00C165B0"/>
    <w:rsid w:val="00C171B6"/>
    <w:rsid w:val="00C2011B"/>
    <w:rsid w:val="00C2062A"/>
    <w:rsid w:val="00C30183"/>
    <w:rsid w:val="00C316FC"/>
    <w:rsid w:val="00C3644F"/>
    <w:rsid w:val="00C36666"/>
    <w:rsid w:val="00C43AAC"/>
    <w:rsid w:val="00C460D8"/>
    <w:rsid w:val="00C474CC"/>
    <w:rsid w:val="00C52B1A"/>
    <w:rsid w:val="00C61B8C"/>
    <w:rsid w:val="00C712DE"/>
    <w:rsid w:val="00C836E5"/>
    <w:rsid w:val="00C83C65"/>
    <w:rsid w:val="00C840D0"/>
    <w:rsid w:val="00C867B9"/>
    <w:rsid w:val="00CA3B1B"/>
    <w:rsid w:val="00CB23E3"/>
    <w:rsid w:val="00CB2A5B"/>
    <w:rsid w:val="00CB66A2"/>
    <w:rsid w:val="00CB759D"/>
    <w:rsid w:val="00CB7AAE"/>
    <w:rsid w:val="00CC0807"/>
    <w:rsid w:val="00CC0A41"/>
    <w:rsid w:val="00CC3BA0"/>
    <w:rsid w:val="00CC48C9"/>
    <w:rsid w:val="00CD765A"/>
    <w:rsid w:val="00CE49A1"/>
    <w:rsid w:val="00CF759C"/>
    <w:rsid w:val="00D00216"/>
    <w:rsid w:val="00D011CD"/>
    <w:rsid w:val="00D14A9D"/>
    <w:rsid w:val="00D17A30"/>
    <w:rsid w:val="00D225CC"/>
    <w:rsid w:val="00D22682"/>
    <w:rsid w:val="00D240C3"/>
    <w:rsid w:val="00D2551C"/>
    <w:rsid w:val="00D2786B"/>
    <w:rsid w:val="00D32849"/>
    <w:rsid w:val="00D33DD9"/>
    <w:rsid w:val="00D412C8"/>
    <w:rsid w:val="00D434A7"/>
    <w:rsid w:val="00D46724"/>
    <w:rsid w:val="00D517A4"/>
    <w:rsid w:val="00D51C7E"/>
    <w:rsid w:val="00D549F4"/>
    <w:rsid w:val="00D64101"/>
    <w:rsid w:val="00D8773C"/>
    <w:rsid w:val="00D87D0A"/>
    <w:rsid w:val="00D902F5"/>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Ttol2">
    <w:name w:val="heading 2"/>
    <w:basedOn w:val="Normal"/>
    <w:next w:val="Normal"/>
    <w:qFormat/>
    <w:rsid w:val="007D6292"/>
    <w:pPr>
      <w:keepNext/>
      <w:widowControl/>
      <w:spacing w:before="120" w:after="120"/>
      <w:outlineLvl w:val="1"/>
    </w:pPr>
    <w:rPr>
      <w:rFonts w:ascii="Arial" w:hAnsi="Arial"/>
      <w:sz w:val="20"/>
      <w:lang w:val="fr-BE"/>
    </w:rPr>
  </w:style>
  <w:style w:type="paragraph" w:styleId="Ttol4">
    <w:name w:val="heading 4"/>
    <w:basedOn w:val="Normal"/>
    <w:next w:val="Normal"/>
    <w:link w:val="Ttol4C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uiPriority w:val="20"/>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rPr>
      <w:rFonts w:ascii="Tahoma" w:hAnsi="Tahoma"/>
    </w:rPr>
  </w:style>
  <w:style w:type="paragraph" w:styleId="Capalera">
    <w:name w:val="header"/>
    <w:basedOn w:val="Normal"/>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rsid w:val="007F095B"/>
  </w:style>
  <w:style w:type="paragraph" w:styleId="Textindependen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uiPriority w:val="99"/>
    <w:qFormat/>
    <w:rsid w:val="001951FE"/>
    <w:rPr>
      <w:sz w:val="20"/>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sid w:val="001951FE"/>
    <w:rPr>
      <w:vertAlign w:val="superscript"/>
    </w:rPr>
  </w:style>
  <w:style w:type="character" w:customStyle="1" w:styleId="PeuCar">
    <w:name w:val="Peu Car"/>
    <w:link w:val="Peu"/>
    <w:rsid w:val="007727F3"/>
    <w:rPr>
      <w:snapToGrid w:val="0"/>
      <w:sz w:val="24"/>
      <w:lang w:val="en-US" w:eastAsia="en-US"/>
    </w:rPr>
  </w:style>
  <w:style w:type="paragraph" w:styleId="Textdeglobus">
    <w:name w:val="Balloon Text"/>
    <w:basedOn w:val="Normal"/>
    <w:link w:val="TextdeglobusCar"/>
    <w:rsid w:val="00D240C3"/>
    <w:pPr>
      <w:spacing w:before="0" w:after="0"/>
    </w:pPr>
    <w:rPr>
      <w:rFonts w:ascii="Tahoma" w:hAnsi="Tahoma" w:cs="Tahoma"/>
      <w:sz w:val="16"/>
      <w:szCs w:val="16"/>
    </w:rPr>
  </w:style>
  <w:style w:type="character" w:customStyle="1" w:styleId="TextdeglobusCar">
    <w:name w:val="Text de globus Car"/>
    <w:link w:val="Textdeglobus"/>
    <w:rsid w:val="00D240C3"/>
    <w:rPr>
      <w:rFonts w:ascii="Tahoma" w:hAnsi="Tahoma" w:cs="Tahoma"/>
      <w:snapToGrid w:val="0"/>
      <w:sz w:val="16"/>
      <w:szCs w:val="16"/>
      <w:lang w:val="en-US" w:eastAsia="en-US"/>
    </w:rPr>
  </w:style>
  <w:style w:type="character" w:styleId="Refernciadecomentari">
    <w:name w:val="annotation reference"/>
    <w:rsid w:val="009B69BE"/>
    <w:rPr>
      <w:sz w:val="16"/>
      <w:szCs w:val="16"/>
    </w:rPr>
  </w:style>
  <w:style w:type="paragraph" w:styleId="Textdecomentari">
    <w:name w:val="annotation text"/>
    <w:basedOn w:val="Normal"/>
    <w:link w:val="TextdecomentariCar"/>
    <w:rsid w:val="009B69BE"/>
    <w:rPr>
      <w:sz w:val="20"/>
    </w:rPr>
  </w:style>
  <w:style w:type="character" w:customStyle="1" w:styleId="TextdecomentariCar">
    <w:name w:val="Text de comentari Car"/>
    <w:link w:val="Textdecomentari"/>
    <w:rsid w:val="009B69BE"/>
    <w:rPr>
      <w:snapToGrid w:val="0"/>
      <w:lang w:val="en-US" w:eastAsia="en-US"/>
    </w:rPr>
  </w:style>
  <w:style w:type="paragraph" w:styleId="Temadelcomentari">
    <w:name w:val="annotation subject"/>
    <w:basedOn w:val="Textdecomentari"/>
    <w:next w:val="Textdecomentari"/>
    <w:link w:val="TemadelcomentariCar"/>
    <w:rsid w:val="009B69BE"/>
    <w:rPr>
      <w:b/>
      <w:bCs/>
    </w:rPr>
  </w:style>
  <w:style w:type="character" w:customStyle="1" w:styleId="TemadelcomentariCar">
    <w:name w:val="Tema del comentari Car"/>
    <w:link w:val="Temadelcomentari"/>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tol">
    <w:name w:val="Subtitle"/>
    <w:basedOn w:val="Normal"/>
    <w:link w:val="SubttolCar"/>
    <w:qFormat/>
    <w:rsid w:val="00A36F1C"/>
    <w:pPr>
      <w:widowControl/>
      <w:spacing w:before="0" w:after="0"/>
      <w:jc w:val="center"/>
    </w:pPr>
    <w:rPr>
      <w:b/>
      <w:snapToGrid/>
      <w:sz w:val="28"/>
      <w:lang w:val="fr-BE" w:eastAsia="en-GB"/>
    </w:rPr>
  </w:style>
  <w:style w:type="character" w:customStyle="1" w:styleId="SubttolCar">
    <w:name w:val="Subtítol Car"/>
    <w:link w:val="Subttol"/>
    <w:rsid w:val="00A36F1C"/>
    <w:rPr>
      <w:b/>
      <w:sz w:val="28"/>
      <w:lang w:val="fr-BE"/>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Pargrafdellista">
    <w:name w:val="List Paragraph"/>
    <w:basedOn w:val="Normal"/>
    <w:uiPriority w:val="34"/>
    <w:qFormat/>
    <w:rsid w:val="00B9793F"/>
    <w:pPr>
      <w:ind w:left="720"/>
    </w:pPr>
  </w:style>
  <w:style w:type="paragraph" w:styleId="Revisi">
    <w:name w:val="Revision"/>
    <w:hidden/>
    <w:uiPriority w:val="99"/>
    <w:semiHidden/>
    <w:rsid w:val="00D97139"/>
    <w:rPr>
      <w:snapToGrid w:val="0"/>
      <w:sz w:val="24"/>
      <w:lang w:val="en-US" w:eastAsia="en-US"/>
    </w:rPr>
  </w:style>
  <w:style w:type="character" w:customStyle="1" w:styleId="Ttol4Car">
    <w:name w:val="Títol 4 Car"/>
    <w:basedOn w:val="Lletraperdefectedelpargraf"/>
    <w:link w:val="Ttol4"/>
    <w:semiHidden/>
    <w:rsid w:val="009B5369"/>
    <w:rPr>
      <w:rFonts w:asciiTheme="minorHAnsi" w:eastAsiaTheme="minorEastAsia" w:hAnsiTheme="minorHAnsi" w:cstheme="minorBidi"/>
      <w:b/>
      <w:bCs/>
      <w:snapToGrid w:val="0"/>
      <w:sz w:val="28"/>
      <w:szCs w:val="28"/>
      <w:lang w:val="en-US" w:eastAsia="en-US"/>
    </w:rPr>
  </w:style>
  <w:style w:type="character" w:styleId="Mencisenseresoldre">
    <w:name w:val="Unresolved Mention"/>
    <w:basedOn w:val="Lletraperdefectedelpargraf"/>
    <w:uiPriority w:val="99"/>
    <w:semiHidden/>
    <w:unhideWhenUsed/>
    <w:rsid w:val="00D902F5"/>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AB4855"/>
    <w:pPr>
      <w:widowControl/>
      <w:spacing w:before="0"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2549</Words>
  <Characters>13902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16419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Albert Sorrosal</cp:lastModifiedBy>
  <cp:revision>10</cp:revision>
  <cp:lastPrinted>2016-05-31T08:36:00Z</cp:lastPrinted>
  <dcterms:created xsi:type="dcterms:W3CDTF">2024-07-18T16:05:00Z</dcterms:created>
  <dcterms:modified xsi:type="dcterms:W3CDTF">2024-08-30T15:02:00Z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